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798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jc w:val="center"/>
        <w:rPr>
          <w:rFonts w:hint="eastAsia" w:ascii="微软雅黑" w:hAnsi="微软雅黑" w:eastAsia="微软雅黑" w:cs="微软雅黑"/>
          <w:b/>
          <w:bCs/>
          <w:i w:val="0"/>
          <w:iCs w:val="0"/>
          <w:caps w:val="0"/>
          <w:color w:val="AF1E25"/>
          <w:spacing w:val="0"/>
          <w:sz w:val="28"/>
          <w:szCs w:val="28"/>
        </w:rPr>
      </w:pPr>
      <w:r>
        <w:rPr>
          <w:rFonts w:hint="eastAsia" w:ascii="微软雅黑" w:hAnsi="微软雅黑" w:eastAsia="微软雅黑" w:cs="微软雅黑"/>
          <w:b/>
          <w:bCs/>
          <w:i w:val="0"/>
          <w:iCs w:val="0"/>
          <w:caps w:val="0"/>
          <w:color w:val="AF1E25"/>
          <w:spacing w:val="0"/>
          <w:kern w:val="0"/>
          <w:sz w:val="28"/>
          <w:szCs w:val="28"/>
          <w:bdr w:val="none" w:color="auto" w:sz="0" w:space="0"/>
          <w:lang w:val="en-US" w:eastAsia="zh-CN" w:bidi="ar"/>
        </w:rPr>
        <w:t>南京市人大常委会公告（第39号）</w:t>
      </w:r>
    </w:p>
    <w:p w14:paraId="46F62180">
      <w:pPr>
        <w:keepNext w:val="0"/>
        <w:keepLines w:val="0"/>
        <w:widowControl/>
        <w:suppressLineNumbers w:val="0"/>
        <w:pBdr>
          <w:top w:val="none" w:color="auto" w:sz="0" w:space="0"/>
          <w:left w:val="none" w:color="auto" w:sz="0" w:space="0"/>
          <w:bottom w:val="none" w:color="auto" w:sz="0" w:space="0"/>
          <w:right w:val="none" w:color="auto" w:sz="0" w:space="0"/>
        </w:pBdr>
        <w:shd w:val="clear" w:fill="EFEFEF"/>
        <w:spacing w:before="0" w:beforeAutospacing="0" w:after="0" w:afterAutospacing="0" w:line="400" w:lineRule="atLeast"/>
        <w:ind w:left="0" w:right="0" w:firstLine="0"/>
        <w:jc w:val="center"/>
        <w:rPr>
          <w:rFonts w:hint="eastAsia" w:ascii="微软雅黑" w:hAnsi="微软雅黑" w:eastAsia="微软雅黑" w:cs="微软雅黑"/>
          <w:i w:val="0"/>
          <w:iCs w:val="0"/>
          <w:caps w:val="0"/>
          <w:color w:val="666666"/>
          <w:spacing w:val="0"/>
          <w:sz w:val="12"/>
          <w:szCs w:val="12"/>
        </w:rPr>
      </w:pPr>
      <w:r>
        <w:rPr>
          <w:rFonts w:hint="eastAsia" w:ascii="微软雅黑" w:hAnsi="微软雅黑" w:eastAsia="微软雅黑" w:cs="微软雅黑"/>
          <w:i w:val="0"/>
          <w:iCs w:val="0"/>
          <w:caps w:val="0"/>
          <w:color w:val="666666"/>
          <w:spacing w:val="0"/>
          <w:kern w:val="0"/>
          <w:sz w:val="12"/>
          <w:szCs w:val="12"/>
          <w:bdr w:val="none" w:color="auto" w:sz="0" w:space="0"/>
          <w:shd w:val="clear" w:fill="EFEFEF"/>
          <w:lang w:val="en-US" w:eastAsia="zh-CN" w:bidi="ar"/>
        </w:rPr>
        <w:t>[发布时间： 2026-04-15 09:00]    字号： </w:t>
      </w:r>
      <w:r>
        <w:rPr>
          <w:rFonts w:hint="eastAsia" w:ascii="微软雅黑" w:hAnsi="微软雅黑" w:eastAsia="微软雅黑" w:cs="微软雅黑"/>
          <w:i w:val="0"/>
          <w:iCs w:val="0"/>
          <w:caps w:val="0"/>
          <w:color w:val="666666"/>
          <w:spacing w:val="0"/>
          <w:kern w:val="0"/>
          <w:sz w:val="12"/>
          <w:szCs w:val="12"/>
          <w:u w:val="none"/>
          <w:bdr w:val="none" w:color="auto" w:sz="0" w:space="0"/>
          <w:shd w:val="clear" w:fill="EFEFEF"/>
          <w:lang w:val="en-US" w:eastAsia="zh-CN" w:bidi="ar"/>
        </w:rPr>
        <w:fldChar w:fldCharType="begin"/>
      </w:r>
      <w:r>
        <w:rPr>
          <w:rFonts w:hint="eastAsia" w:ascii="微软雅黑" w:hAnsi="微软雅黑" w:eastAsia="微软雅黑" w:cs="微软雅黑"/>
          <w:i w:val="0"/>
          <w:iCs w:val="0"/>
          <w:caps w:val="0"/>
          <w:color w:val="666666"/>
          <w:spacing w:val="0"/>
          <w:kern w:val="0"/>
          <w:sz w:val="12"/>
          <w:szCs w:val="12"/>
          <w:u w:val="none"/>
          <w:bdr w:val="none" w:color="auto" w:sz="0" w:space="0"/>
          <w:shd w:val="clear" w:fill="EFEFEF"/>
          <w:lang w:val="en-US" w:eastAsia="zh-CN" w:bidi="ar"/>
        </w:rPr>
        <w:instrText xml:space="preserve"> HYPERLINK "javascript:SetFont(16)" </w:instrText>
      </w:r>
      <w:r>
        <w:rPr>
          <w:rFonts w:hint="eastAsia" w:ascii="微软雅黑" w:hAnsi="微软雅黑" w:eastAsia="微软雅黑" w:cs="微软雅黑"/>
          <w:i w:val="0"/>
          <w:iCs w:val="0"/>
          <w:caps w:val="0"/>
          <w:color w:val="666666"/>
          <w:spacing w:val="0"/>
          <w:kern w:val="0"/>
          <w:sz w:val="12"/>
          <w:szCs w:val="12"/>
          <w:u w:val="none"/>
          <w:bdr w:val="none" w:color="auto" w:sz="0" w:space="0"/>
          <w:shd w:val="clear" w:fill="EFEFEF"/>
          <w:lang w:val="en-US" w:eastAsia="zh-CN" w:bidi="ar"/>
        </w:rPr>
        <w:fldChar w:fldCharType="separate"/>
      </w:r>
      <w:r>
        <w:rPr>
          <w:rStyle w:val="5"/>
          <w:rFonts w:hint="eastAsia" w:ascii="微软雅黑" w:hAnsi="微软雅黑" w:eastAsia="微软雅黑" w:cs="微软雅黑"/>
          <w:i w:val="0"/>
          <w:iCs w:val="0"/>
          <w:caps w:val="0"/>
          <w:color w:val="666666"/>
          <w:spacing w:val="0"/>
          <w:sz w:val="12"/>
          <w:szCs w:val="12"/>
          <w:u w:val="none"/>
          <w:bdr w:val="none" w:color="auto" w:sz="0" w:space="0"/>
          <w:shd w:val="clear" w:fill="EFEFEF"/>
        </w:rPr>
        <w:t>大</w:t>
      </w:r>
      <w:r>
        <w:rPr>
          <w:rFonts w:hint="eastAsia" w:ascii="微软雅黑" w:hAnsi="微软雅黑" w:eastAsia="微软雅黑" w:cs="微软雅黑"/>
          <w:i w:val="0"/>
          <w:iCs w:val="0"/>
          <w:caps w:val="0"/>
          <w:color w:val="666666"/>
          <w:spacing w:val="0"/>
          <w:kern w:val="0"/>
          <w:sz w:val="12"/>
          <w:szCs w:val="12"/>
          <w:u w:val="none"/>
          <w:bdr w:val="none" w:color="auto" w:sz="0" w:space="0"/>
          <w:shd w:val="clear" w:fill="EFEFEF"/>
          <w:lang w:val="en-US" w:eastAsia="zh-CN" w:bidi="ar"/>
        </w:rPr>
        <w:fldChar w:fldCharType="end"/>
      </w:r>
      <w:r>
        <w:rPr>
          <w:rFonts w:hint="eastAsia" w:ascii="微软雅黑" w:hAnsi="微软雅黑" w:eastAsia="微软雅黑" w:cs="微软雅黑"/>
          <w:i w:val="0"/>
          <w:iCs w:val="0"/>
          <w:caps w:val="0"/>
          <w:color w:val="666666"/>
          <w:spacing w:val="0"/>
          <w:kern w:val="0"/>
          <w:sz w:val="12"/>
          <w:szCs w:val="12"/>
          <w:bdr w:val="none" w:color="auto" w:sz="0" w:space="0"/>
          <w:shd w:val="clear" w:fill="EFEFEF"/>
          <w:lang w:val="en-US" w:eastAsia="zh-CN" w:bidi="ar"/>
        </w:rPr>
        <w:t> </w:t>
      </w:r>
      <w:r>
        <w:rPr>
          <w:rFonts w:hint="eastAsia" w:ascii="微软雅黑" w:hAnsi="微软雅黑" w:eastAsia="微软雅黑" w:cs="微软雅黑"/>
          <w:i w:val="0"/>
          <w:iCs w:val="0"/>
          <w:caps w:val="0"/>
          <w:color w:val="666666"/>
          <w:spacing w:val="0"/>
          <w:kern w:val="0"/>
          <w:sz w:val="12"/>
          <w:szCs w:val="12"/>
          <w:u w:val="none"/>
          <w:bdr w:val="none" w:color="auto" w:sz="0" w:space="0"/>
          <w:shd w:val="clear" w:fill="EFEFEF"/>
          <w:lang w:val="en-US" w:eastAsia="zh-CN" w:bidi="ar"/>
        </w:rPr>
        <w:fldChar w:fldCharType="begin"/>
      </w:r>
      <w:r>
        <w:rPr>
          <w:rFonts w:hint="eastAsia" w:ascii="微软雅黑" w:hAnsi="微软雅黑" w:eastAsia="微软雅黑" w:cs="微软雅黑"/>
          <w:i w:val="0"/>
          <w:iCs w:val="0"/>
          <w:caps w:val="0"/>
          <w:color w:val="666666"/>
          <w:spacing w:val="0"/>
          <w:kern w:val="0"/>
          <w:sz w:val="12"/>
          <w:szCs w:val="12"/>
          <w:u w:val="none"/>
          <w:bdr w:val="none" w:color="auto" w:sz="0" w:space="0"/>
          <w:shd w:val="clear" w:fill="EFEFEF"/>
          <w:lang w:val="en-US" w:eastAsia="zh-CN" w:bidi="ar"/>
        </w:rPr>
        <w:instrText xml:space="preserve"> HYPERLINK "javascript:SetFont(14)" </w:instrText>
      </w:r>
      <w:r>
        <w:rPr>
          <w:rFonts w:hint="eastAsia" w:ascii="微软雅黑" w:hAnsi="微软雅黑" w:eastAsia="微软雅黑" w:cs="微软雅黑"/>
          <w:i w:val="0"/>
          <w:iCs w:val="0"/>
          <w:caps w:val="0"/>
          <w:color w:val="666666"/>
          <w:spacing w:val="0"/>
          <w:kern w:val="0"/>
          <w:sz w:val="12"/>
          <w:szCs w:val="12"/>
          <w:u w:val="none"/>
          <w:bdr w:val="none" w:color="auto" w:sz="0" w:space="0"/>
          <w:shd w:val="clear" w:fill="EFEFEF"/>
          <w:lang w:val="en-US" w:eastAsia="zh-CN" w:bidi="ar"/>
        </w:rPr>
        <w:fldChar w:fldCharType="separate"/>
      </w:r>
      <w:r>
        <w:rPr>
          <w:rStyle w:val="5"/>
          <w:rFonts w:hint="eastAsia" w:ascii="微软雅黑" w:hAnsi="微软雅黑" w:eastAsia="微软雅黑" w:cs="微软雅黑"/>
          <w:i w:val="0"/>
          <w:iCs w:val="0"/>
          <w:caps w:val="0"/>
          <w:color w:val="666666"/>
          <w:spacing w:val="0"/>
          <w:sz w:val="12"/>
          <w:szCs w:val="12"/>
          <w:u w:val="none"/>
          <w:bdr w:val="none" w:color="auto" w:sz="0" w:space="0"/>
          <w:shd w:val="clear" w:fill="EFEFEF"/>
        </w:rPr>
        <w:t>中</w:t>
      </w:r>
      <w:r>
        <w:rPr>
          <w:rFonts w:hint="eastAsia" w:ascii="微软雅黑" w:hAnsi="微软雅黑" w:eastAsia="微软雅黑" w:cs="微软雅黑"/>
          <w:i w:val="0"/>
          <w:iCs w:val="0"/>
          <w:caps w:val="0"/>
          <w:color w:val="666666"/>
          <w:spacing w:val="0"/>
          <w:kern w:val="0"/>
          <w:sz w:val="12"/>
          <w:szCs w:val="12"/>
          <w:u w:val="none"/>
          <w:bdr w:val="none" w:color="auto" w:sz="0" w:space="0"/>
          <w:shd w:val="clear" w:fill="EFEFEF"/>
          <w:lang w:val="en-US" w:eastAsia="zh-CN" w:bidi="ar"/>
        </w:rPr>
        <w:fldChar w:fldCharType="end"/>
      </w:r>
      <w:r>
        <w:rPr>
          <w:rFonts w:hint="eastAsia" w:ascii="微软雅黑" w:hAnsi="微软雅黑" w:eastAsia="微软雅黑" w:cs="微软雅黑"/>
          <w:i w:val="0"/>
          <w:iCs w:val="0"/>
          <w:caps w:val="0"/>
          <w:color w:val="666666"/>
          <w:spacing w:val="0"/>
          <w:kern w:val="0"/>
          <w:sz w:val="12"/>
          <w:szCs w:val="12"/>
          <w:bdr w:val="none" w:color="auto" w:sz="0" w:space="0"/>
          <w:shd w:val="clear" w:fill="EFEFEF"/>
          <w:lang w:val="en-US" w:eastAsia="zh-CN" w:bidi="ar"/>
        </w:rPr>
        <w:t> </w:t>
      </w:r>
      <w:r>
        <w:rPr>
          <w:rFonts w:hint="eastAsia" w:ascii="微软雅黑" w:hAnsi="微软雅黑" w:eastAsia="微软雅黑" w:cs="微软雅黑"/>
          <w:i w:val="0"/>
          <w:iCs w:val="0"/>
          <w:caps w:val="0"/>
          <w:color w:val="666666"/>
          <w:spacing w:val="0"/>
          <w:kern w:val="0"/>
          <w:sz w:val="12"/>
          <w:szCs w:val="12"/>
          <w:u w:val="none"/>
          <w:bdr w:val="none" w:color="auto" w:sz="0" w:space="0"/>
          <w:shd w:val="clear" w:fill="EFEFEF"/>
          <w:lang w:val="en-US" w:eastAsia="zh-CN" w:bidi="ar"/>
        </w:rPr>
        <w:fldChar w:fldCharType="begin"/>
      </w:r>
      <w:r>
        <w:rPr>
          <w:rFonts w:hint="eastAsia" w:ascii="微软雅黑" w:hAnsi="微软雅黑" w:eastAsia="微软雅黑" w:cs="微软雅黑"/>
          <w:i w:val="0"/>
          <w:iCs w:val="0"/>
          <w:caps w:val="0"/>
          <w:color w:val="666666"/>
          <w:spacing w:val="0"/>
          <w:kern w:val="0"/>
          <w:sz w:val="12"/>
          <w:szCs w:val="12"/>
          <w:u w:val="none"/>
          <w:bdr w:val="none" w:color="auto" w:sz="0" w:space="0"/>
          <w:shd w:val="clear" w:fill="EFEFEF"/>
          <w:lang w:val="en-US" w:eastAsia="zh-CN" w:bidi="ar"/>
        </w:rPr>
        <w:instrText xml:space="preserve"> HYPERLINK "javascript:SetFont(12)" </w:instrText>
      </w:r>
      <w:r>
        <w:rPr>
          <w:rFonts w:hint="eastAsia" w:ascii="微软雅黑" w:hAnsi="微软雅黑" w:eastAsia="微软雅黑" w:cs="微软雅黑"/>
          <w:i w:val="0"/>
          <w:iCs w:val="0"/>
          <w:caps w:val="0"/>
          <w:color w:val="666666"/>
          <w:spacing w:val="0"/>
          <w:kern w:val="0"/>
          <w:sz w:val="12"/>
          <w:szCs w:val="12"/>
          <w:u w:val="none"/>
          <w:bdr w:val="none" w:color="auto" w:sz="0" w:space="0"/>
          <w:shd w:val="clear" w:fill="EFEFEF"/>
          <w:lang w:val="en-US" w:eastAsia="zh-CN" w:bidi="ar"/>
        </w:rPr>
        <w:fldChar w:fldCharType="separate"/>
      </w:r>
      <w:r>
        <w:rPr>
          <w:rStyle w:val="5"/>
          <w:rFonts w:hint="eastAsia" w:ascii="微软雅黑" w:hAnsi="微软雅黑" w:eastAsia="微软雅黑" w:cs="微软雅黑"/>
          <w:i w:val="0"/>
          <w:iCs w:val="0"/>
          <w:caps w:val="0"/>
          <w:color w:val="666666"/>
          <w:spacing w:val="0"/>
          <w:sz w:val="12"/>
          <w:szCs w:val="12"/>
          <w:u w:val="none"/>
          <w:bdr w:val="none" w:color="auto" w:sz="0" w:space="0"/>
          <w:shd w:val="clear" w:fill="EFEFEF"/>
        </w:rPr>
        <w:t>小</w:t>
      </w:r>
      <w:r>
        <w:rPr>
          <w:rFonts w:hint="eastAsia" w:ascii="微软雅黑" w:hAnsi="微软雅黑" w:eastAsia="微软雅黑" w:cs="微软雅黑"/>
          <w:i w:val="0"/>
          <w:iCs w:val="0"/>
          <w:caps w:val="0"/>
          <w:color w:val="666666"/>
          <w:spacing w:val="0"/>
          <w:kern w:val="0"/>
          <w:sz w:val="12"/>
          <w:szCs w:val="12"/>
          <w:u w:val="none"/>
          <w:bdr w:val="none" w:color="auto" w:sz="0" w:space="0"/>
          <w:shd w:val="clear" w:fill="EFEFEF"/>
          <w:lang w:val="en-US" w:eastAsia="zh-CN" w:bidi="ar"/>
        </w:rPr>
        <w:fldChar w:fldCharType="end"/>
      </w:r>
    </w:p>
    <w:p w14:paraId="2ACD5A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0"/>
        <w:jc w:val="center"/>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南京历史文化名城保护条例》已由南京市第十七届人民代表大会常务委员会第二十五次会议于2026年2月28日通过，江苏省第十四届人民代表大会常务委员会第二十一次会议于2026年3月31日批准，现予公布，自2026年7月1日起施行。</w:t>
      </w:r>
    </w:p>
    <w:p w14:paraId="16AC0D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p>
    <w:p w14:paraId="3F9C54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0"/>
        <w:jc w:val="right"/>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南京市人民代表大会常务委员会</w:t>
      </w:r>
    </w:p>
    <w:p w14:paraId="7AB24F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0"/>
        <w:jc w:val="right"/>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2026年4月10日</w:t>
      </w:r>
    </w:p>
    <w:p w14:paraId="5B7A5C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0"/>
        <w:jc w:val="right"/>
        <w:rPr>
          <w:rFonts w:hint="eastAsia" w:ascii="宋体" w:hAnsi="宋体" w:eastAsia="宋体" w:cs="宋体"/>
          <w:color w:val="333333"/>
          <w:sz w:val="16"/>
          <w:szCs w:val="16"/>
        </w:rPr>
      </w:pPr>
    </w:p>
    <w:p w14:paraId="7EE121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0"/>
        <w:jc w:val="center"/>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南京历史文化名城保护条例</w:t>
      </w:r>
    </w:p>
    <w:p w14:paraId="5191B1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p>
    <w:p w14:paraId="0F9B43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0"/>
        <w:jc w:val="center"/>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（2026年2月28日南京市第十七届人民代表大会常务委员会第二十五次会议通过  2026年3月31日江苏省第十四届人民代表大会常务委员会第二十一次会议批准）</w:t>
      </w:r>
    </w:p>
    <w:p w14:paraId="6AB84F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目  录</w:t>
      </w:r>
    </w:p>
    <w:p w14:paraId="3D901A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第一章  总则</w:t>
      </w:r>
    </w:p>
    <w:p w14:paraId="12698A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第二章  保护对象</w:t>
      </w:r>
    </w:p>
    <w:p w14:paraId="1627F7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第三章  保护规划</w:t>
      </w:r>
    </w:p>
    <w:p w14:paraId="29875C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第四章  保护措施</w:t>
      </w:r>
    </w:p>
    <w:p w14:paraId="496309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第五章  传承利用</w:t>
      </w:r>
    </w:p>
    <w:p w14:paraId="7BE45E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第六章  法律责任</w:t>
      </w:r>
    </w:p>
    <w:p w14:paraId="46317B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第七章  附则</w:t>
      </w:r>
    </w:p>
    <w:p w14:paraId="05D383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第一章  总则</w:t>
      </w:r>
    </w:p>
    <w:p w14:paraId="0BA494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一条为了加强南京历史文化名城保护，传承和弘扬中华优秀传统文化，统筹协调历史文化保护利用与经济社会发展，根据《中华人民共和国城乡规划法》、《中华人民共和国文物保护法》、国务院《历史文化名城名镇名村保护条例》等法律、法规，结合本市实际，制定本条例。</w:t>
      </w:r>
    </w:p>
    <w:p w14:paraId="0A4B05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第二条南京历史文化名城的规划、保护、利用和管理等相关活动，适用本条例。</w:t>
      </w:r>
    </w:p>
    <w:p w14:paraId="306A98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第三条历史文化名城保护应当遵循科学规划、保护优先、分类管理、合理利用、共治共享、传承发展的原则，保持、延续南京历史文化名城的传统格局和风貌，维护历史文化遗产的真实性和完整性。</w:t>
      </w:r>
    </w:p>
    <w:p w14:paraId="2B23C5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第四条本市坚持党委领导、政府主导、部门联动、多方参与、社会监督的南京历史文化名城保护工作格局，增强南京历史文化名城保护的整体性、系统性。</w:t>
      </w:r>
    </w:p>
    <w:p w14:paraId="78763D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市、区和江北新区文化遗产保护传承工作协调机构统筹、指导、协调、审议历史文化名城保护工作重大事项。</w:t>
      </w:r>
    </w:p>
    <w:p w14:paraId="2A0708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南京历史文化名城保护专家委员会为历史文化名城保护重大事项提供评审、论证等服务。</w:t>
      </w:r>
    </w:p>
    <w:p w14:paraId="4D102B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第五条市人民政府负责南京历史文化名城保护工作，将其纳入本市国民经济和社会发展规划、计划，加大政策支持和资金保障力度。</w:t>
      </w:r>
    </w:p>
    <w:p w14:paraId="08E1AA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区人民政府和江北新区管理机构负责本区域内历史文化名城保护工作，统筹安排保护资金，建立健全日常巡查管理制度，将巡查工作纳入社区网格化管理。</w:t>
      </w:r>
    </w:p>
    <w:p w14:paraId="0162FC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镇人民政府、街道办事处依照本条例有关规定履行本辖区内历史文化名城保护的相关职责，加强巡查、宣传，引导公众参与历史文化名城保护工作。</w:t>
      </w:r>
    </w:p>
    <w:p w14:paraId="44C6A4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村民委员会、居民委员会协助镇人民政府、街道办事处做好历史文化名城保护相关工作。</w:t>
      </w:r>
    </w:p>
    <w:p w14:paraId="236E4C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第六条市规划和自然资源主管部门会同市文化和旅游（文物）、城乡建设主管部门负责组织实施本条例。</w:t>
      </w:r>
    </w:p>
    <w:p w14:paraId="66A38D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市规划和自然资源主管部门负责南京历史文化名城保护相关规划管理工作，承担市文化遗产保护传承工作协调机构涉及历史文化名城保护的日常工作。</w:t>
      </w:r>
    </w:p>
    <w:p w14:paraId="02E633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市文化和旅游（文物）主管部门负责世界文化遗产、不可移动文物、非物质文化遗产等的规划编制、保护利用和监督管理等工作，组织红色文化资源调查认定、标识管理、保护责任人制度落实等工作。</w:t>
      </w:r>
    </w:p>
    <w:p w14:paraId="4B2E6E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市城乡建设主管部门负责南京历史文化名城保护涉及的市政基础设施建设，以及历史建筑等房屋建筑的施工审批管理工作，负责传统村落的申报和监督管理。</w:t>
      </w:r>
    </w:p>
    <w:p w14:paraId="310844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市农业农村主管部门负责统筹推动历史文化名村、古村的基础设施建设，改善人居环境，以及农业文化遗产的规划编制、保护利用和监督管理等工作。</w:t>
      </w:r>
    </w:p>
    <w:p w14:paraId="231420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市住房保障和房产主管部门负责历史建筑保护标志的挂牌和维护，发放历史建筑保护告知书，以及历史建筑使用安全的监督管理。</w:t>
      </w:r>
    </w:p>
    <w:p w14:paraId="554C3B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市工业和信息化、水务、民政、绿化园林等部门按照职责负责工业遗产、灌溉工程遗产、地名文化遗产、古树名木等历史文化遗产的保护利用和监督管理。</w:t>
      </w:r>
    </w:p>
    <w:p w14:paraId="5B1038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市教育、体育、商务、卫生健康、民族宗教、交通运输等部门负责各自职责范围内历史文化资源的保护利用和日常管理。</w:t>
      </w:r>
    </w:p>
    <w:p w14:paraId="5E6566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市发展和改革、财政、城市管理、应急管理、消防救援等部门和机构按照各自职责，做好南京历史文化名城保护相关工作。</w:t>
      </w:r>
    </w:p>
    <w:p w14:paraId="27AC56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第七条本市建立南京历史文化名城保护资金多渠道筹集机制，资金来源包括：</w:t>
      </w:r>
    </w:p>
    <w:p w14:paraId="2B53B0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（一）市、区人民政府和江北新区管理机构财政预算安排的保护利用资金、奖补资金；</w:t>
      </w:r>
    </w:p>
    <w:p w14:paraId="4620CA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（二）合理利用南京历史文化名城保护对象中的国有建筑的收益；</w:t>
      </w:r>
    </w:p>
    <w:p w14:paraId="3230C5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（三）企业和其他社会组织、个人设立的历史文化保护利用基金；</w:t>
      </w:r>
    </w:p>
    <w:p w14:paraId="01A22D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（四）社会捐赠资金；</w:t>
      </w:r>
    </w:p>
    <w:p w14:paraId="2E0027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（五）其他依法筹集的资金。</w:t>
      </w:r>
    </w:p>
    <w:p w14:paraId="63FB30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保护资金主要用于本条例规定的保护对象的普查认定、挂牌、测绘建档、规划编制、修缮抢险和环境整治、基础设施建设，以及相关学术研究、宣传培训等保护利用工作。</w:t>
      </w:r>
    </w:p>
    <w:p w14:paraId="12E49C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鼓励金融机构、地方金融组织积极参与南京历史文化名城保护利用项目，加大金融支持力度，拓展资金筹集渠道。</w:t>
      </w:r>
    </w:p>
    <w:p w14:paraId="5FEBA2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八条市、区人民政府和江北新区管理机构及其有关部门应当推动新技术、新方法在历史文化名城保护利用中的应用，发挥历史文化名城保护信息平台作用，整合历史文化资源的调查、规划、保护、管理等信息，提升保护管理效能。</w:t>
      </w:r>
    </w:p>
    <w:p w14:paraId="07862C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第九条任何单位和个人都有保护南京历史文化名城的义务，有权对历史文化名城保护利用相关工作提出意见和建议，对破坏南京历史文化名城保护对象的行为进行监督、举报。</w:t>
      </w:r>
    </w:p>
    <w:p w14:paraId="0AB66C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鼓励单位和个人以捐赠、资助、志愿服务等方式参与南京历史文化名城保护利用工作，对在南京历史文化名城保护工作中做出突出贡献的单位和个人，按照国家和省有关规定，给予表彰、奖励。</w:t>
      </w:r>
    </w:p>
    <w:p w14:paraId="768A9A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第十条市、区人民政府和江北新区管理机构及其有关部门应当运用多种形式开展历史文化名城保护的宣传活动，普及保护知识，增强社会公众保护意识。</w:t>
      </w:r>
    </w:p>
    <w:p w14:paraId="0D2BFC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第十一条市人民政府应当加强与国内、国际其他城市的协同合作，联合开展跨区域重点历史文化遗产保护利用。</w:t>
      </w:r>
    </w:p>
    <w:p w14:paraId="7CE6F1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第二章  保护对象</w:t>
      </w:r>
    </w:p>
    <w:p w14:paraId="2C3DA9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十二条南京历史文化名城的范围涵盖本市行政区域，整体保护体现南京特色的长江、秦淮河、玄武湖、宁镇山脉等名城山水环境，六朝、南唐、明代、民国等历代都城格局，“襟江带湖”、“龙盘虎踞”的历史城区城址环境，中华路、御道街、中山北路——中山路——中山东路等历史轴线。</w:t>
      </w:r>
    </w:p>
    <w:p w14:paraId="4F744B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第十三条南京历史文化名城保护对象包括下列内容：</w:t>
      </w:r>
    </w:p>
    <w:p w14:paraId="4448E8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（一）明孝陵及其附属明代功臣墓等世界遗产；</w:t>
      </w:r>
    </w:p>
    <w:p w14:paraId="157FBB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（二）南京城墙、南朝陵墓石刻等不可移动文物；</w:t>
      </w:r>
    </w:p>
    <w:p w14:paraId="19CCFD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（三）淳溪等历史文化名镇、杨柳等历史文化名村、李巷等传统村落；</w:t>
      </w:r>
    </w:p>
    <w:p w14:paraId="3130AD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（四）湖熟、竹镇、龙潭等古镇和窦村等古村；</w:t>
      </w:r>
    </w:p>
    <w:p w14:paraId="39FF69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（五）历史城区；</w:t>
      </w:r>
    </w:p>
    <w:p w14:paraId="407E3D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（六）夫子庙、颐和路等历史文化街区和内秦淮河两岸、百子亭等历史地段；</w:t>
      </w:r>
    </w:p>
    <w:p w14:paraId="1C067D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（七）中国地质学会旧址等历史建筑；</w:t>
      </w:r>
    </w:p>
    <w:p w14:paraId="50D27F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（八）惠济寺银杏、龙泉寺腊梅等古树名木；</w:t>
      </w:r>
    </w:p>
    <w:p w14:paraId="042A91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（九）红色文化资源、工业遗产、农业文化遗产、灌溉工程遗产、地名文化遗产等；</w:t>
      </w:r>
    </w:p>
    <w:p w14:paraId="68E4E6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（十）南京云锦织造技艺、金陵刻经印刷技艺等非物质文化遗产；</w:t>
      </w:r>
    </w:p>
    <w:p w14:paraId="5A9C67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（十一）国家、省、市确定的其他保护对象。</w:t>
      </w:r>
    </w:p>
    <w:p w14:paraId="3C7CFF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前款所列保护对象，法律、法规已有保护规定的，从其规定。</w:t>
      </w:r>
    </w:p>
    <w:p w14:paraId="31689B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第十四条本市实行历史文化名城保护名录制度。国家、省已经批准公布的和南京历史文化名城保护规划确定的保护名录，直接纳入本市保护名录。</w:t>
      </w:r>
    </w:p>
    <w:p w14:paraId="5B11D1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保护名录的认定和调整应当按照国家和省市有关规定执行；未作规定的，保护对象主管部门应当对推荐的保护名录按照程序征求有关部门、所有权人或者使用权人、管理人的意见，经专家论证、社会公示，由市人民政府批准后公布。</w:t>
      </w:r>
    </w:p>
    <w:p w14:paraId="39ED5A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保护对象主管部门应当自保护名录公布之日起一年内建立保护名录档案，载明保护对象的名称、区位、建成（形成）时间和历史价值等内容，并妥善保存好档案。因保管条件不符合要求或者存在其他原因可能导致档案不安全或者严重损毁的，可以向有关档案馆移交保管。</w:t>
      </w:r>
    </w:p>
    <w:p w14:paraId="0A0171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第十五条市人民政府应当组织规划和自然资源、文化和旅游（文物）、城乡建设、农业农村、工业和信息化、水务、民政、绿化园林、交通运输等主管部门开展历史文化资源调查，确定推荐的保护名录。</w:t>
      </w:r>
    </w:p>
    <w:p w14:paraId="558884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区人民政府、江北新区管理机构在实施城市更新等城乡建设活动前，应当及时开展历史文化资源调查。任何单位和个人都可以向区人民政府、江北新区管理机构提出列入保护名录的建议。</w:t>
      </w:r>
    </w:p>
    <w:p w14:paraId="060CA2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开展历史文化资源调查时，有关部门和责任人应当配合并依法提供相关信息和资料。</w:t>
      </w:r>
    </w:p>
    <w:p w14:paraId="31FDD6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第十六条本市建立历史文化资源预先保护机制。</w:t>
      </w:r>
    </w:p>
    <w:p w14:paraId="75B808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历史文化资源调查中发现应当保护的历史文化资源，在被纳入推荐的保护名录后，保护对象主管部门应当及时通知所在地的区人民政府、江北新区管理机构；区人民政府、江北新区管理机构在保护对象社会公示前向其所有权人或者使用权人、管理人以及镇人民政府、街道办事处发出预先保护通知。</w:t>
      </w:r>
    </w:p>
    <w:p w14:paraId="2278A8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城乡建设活动中调查发现的历史文化资源、单位或者个人建议保护的历史文化资源，区人民政府、江北新区管理机构应当组织有关部门进行初步评估确认，具有保护价值的，及时向其所有权人或者使用权人、管理人以及镇人民政府、街道办事处发出预先保护通知。保护对象主管部门应当在预先保护通知发出之日起六个月内按照规定完成认定工作；决定不列入保护名录的，应当解除预先保护，并告知所有权人或者使用权人、管理人以及镇人民政府、街道办事处。国家和省另有规定的，从其规定。</w:t>
      </w:r>
    </w:p>
    <w:p w14:paraId="77F2A3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镇人民政府、街道办事处应当对预先保护对象开展日常巡查，发现有损毁预先保护对象的行为应当及时制止；情况严重的，上报区人民政府、江北新区管理机构。</w:t>
      </w:r>
    </w:p>
    <w:p w14:paraId="05361E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任何单位和个人不得擅自迁移或者拆除预先保护对象。</w:t>
      </w:r>
    </w:p>
    <w:p w14:paraId="517523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第十七条保护对象主管部门应当在保护名录公布之日起一年内在保护对象的显著位置设置保护标志。法律、法规另有规定的，从其规定。</w:t>
      </w:r>
    </w:p>
    <w:p w14:paraId="744B56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保护标志的设置应当统一规范，并运用数字化手段，支持公众查询相关信息。</w:t>
      </w:r>
    </w:p>
    <w:p w14:paraId="647FF1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任何单位和个人不得擅自设置、移动、遮挡、涂改或者损毁保护标志。</w:t>
      </w:r>
    </w:p>
    <w:p w14:paraId="45AA7E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第十八条依法认定的保护名录不得擅自调整。因保护对象的保护等级发生变化、失去保护价值等确需对保护名录进行调整的，按照原审批程序执行。</w:t>
      </w:r>
    </w:p>
    <w:p w14:paraId="6CD2FD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已经列入名录的保护对象因保护不力致使其历史文化价值受到严重影响的，由保护对象主管部门报市人民政府同意后将其列入濒危名单并予以公布。市人民政府应当责成所在地的区人民政府、江北新区管理机构限期组织整改，采取补救措施。整改期限届满后，经保护对象主管部门确认达到整改要求的，报市人民政府将其从濒危名单中移除；未达到要求且已失去保护意义的，经专家论证后，由区人民政府、江北新区管理机构提出退出申请，报市人民政府批准。</w:t>
      </w:r>
    </w:p>
    <w:p w14:paraId="00E79B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法律、法规另有规定的，从其规定。</w:t>
      </w:r>
    </w:p>
    <w:p w14:paraId="116D22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第三章  保护规划</w:t>
      </w:r>
    </w:p>
    <w:p w14:paraId="4502E2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第十九条南京历史文化名城的保护规划体系包括南京历史文化名城保护规划、各类保护对象的保护规划以及专项历史文化资源保护规划等。</w:t>
      </w:r>
    </w:p>
    <w:p w14:paraId="1477A9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二十条南京历史文化名城保护规划应当与市国土空间总体规划同步编制。保护名录公布后，应当以南京历史文化名城保护规划为依据，及时编制历史文化街区、名镇、名村、传统村落、古镇、古村、历史地段等的保护规划以及历史建筑的保护图则。</w:t>
      </w:r>
    </w:p>
    <w:p w14:paraId="4FA2BA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二十一条保护规划应当按照国家和省市相关规划编制标准、规范、导则等技术要求编制。没有编制技术要求的，可以参考同类型保护对象保护规划的技术要求进行编制。未编制保护规划的，应当在详细规划中明确历史文化遗产相关保护要求。</w:t>
      </w:r>
    </w:p>
    <w:p w14:paraId="52C17B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保护规划应当包括历史研究与现状分析、历史文化特色与价值、保护内容与保护范围、保护要求与措施、展示利用传承、相关规划衔接传导等内容。</w:t>
      </w:r>
    </w:p>
    <w:p w14:paraId="708748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第二十二条保护规划的编制和审批，应当遵守下列规定：</w:t>
      </w:r>
    </w:p>
    <w:p w14:paraId="593E8B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（一）南京历史文化名城保护规划由市人民政府组织编制，依法报批并备案。</w:t>
      </w:r>
    </w:p>
    <w:p w14:paraId="0613D5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（二）历史文化名镇、名村的保护规划由所在地的区人民政府、江北新区管理机构组织编制，依法报批并备案。</w:t>
      </w:r>
    </w:p>
    <w:p w14:paraId="12321A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（三）历史文化街区保护规划由所在地的区人民政府、江北新区管理机构组织编制，依法报批并备案。</w:t>
      </w:r>
    </w:p>
    <w:p w14:paraId="192E7D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四）传统村落保护发展规划以及古镇、古村和历史地段保护规划由所在地的区人民政府、江北新区管理机构组织编制，经市规划和自然资源主管部门审查通过后，报市人民政府批准；中国传统村落保护规划审批前还应当通过国家有关部门组织的技术审查。</w:t>
      </w:r>
    </w:p>
    <w:p w14:paraId="203960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（五）历史建筑保护图则由市规划和自然资源主管部门组织编制，报市人民政府批准。</w:t>
      </w:r>
    </w:p>
    <w:p w14:paraId="40C2C0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（六）专项历史文化资源保护规划由保护对象主管部门会同市规划和自然资源主管部门组织编制，报市人民政府批准。</w:t>
      </w:r>
    </w:p>
    <w:p w14:paraId="4CB6EA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鼓励根据需要编制其他保护对象的保护规划，其编制审批规程按照有关主管部门要求执行。</w:t>
      </w:r>
    </w:p>
    <w:p w14:paraId="29CE64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保护规划草案应当依法公示，并征求有关部门、专家和公众的意见。</w:t>
      </w:r>
    </w:p>
    <w:p w14:paraId="4179C7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第二十三条依法批准的保护规划，不得擅自修改；确需修改的，保护规划的组织编制机关应当向原审批机关提出专题报告，经同意后，方可编制修改方案。修改后的保护规划，应当按照原审批程序报送审批。</w:t>
      </w:r>
    </w:p>
    <w:p w14:paraId="1A9E77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二十四条南京历史文化名城保护规划的强制性要求应当纳入各级国土空间规划。交通、市政、绿地系统、消防、地下空间等专项规划，应当与南京历史文化名城相关保护规划相衔接。保护对象的保护规划批准后，相关保护要求应当纳入详细规划；详细规划修编时，不得擅自修改保护规划确定的保护要求。</w:t>
      </w:r>
    </w:p>
    <w:p w14:paraId="1C66BF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第四章  保护措施</w:t>
      </w:r>
    </w:p>
    <w:p w14:paraId="1FC5C5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第二十五条南京历史文化名城保护实行保护责任人制度。保护责任人按照下列规定确定，并由市、区人民政府和江北新区管理机构向社会公布：</w:t>
      </w:r>
    </w:p>
    <w:p w14:paraId="12CD73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（一）历史城区、历史文化街区的保护责任人为所在地的区人民政府、江北新区管理机构。</w:t>
      </w:r>
    </w:p>
    <w:p w14:paraId="637B40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（二）历史文化名镇、名村、传统村落、古镇、古村、历史地段的保护责任人为所在地的镇人民政府或者街道办事处。</w:t>
      </w:r>
    </w:p>
    <w:p w14:paraId="56C344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三）历史建筑的所有权人为保护责任人，所有权人不明、与所有权人无法取得联系或者房屋权属不清晰的，使用权人、管理人为保护责任人；使用权人、管理人不明或者有异议的，区人民政府、江北新区管理机构应当及时指定保护责任人；历史建筑与所在地块一起出让的，所在地块的受让人为保护责任人。</w:t>
      </w:r>
    </w:p>
    <w:p w14:paraId="4C1F3F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（四）其他保护对象的保护责任人为所有权人或者使用权人、管理人；所有权人或者使用权人、管理人不明或者有异议的，保护对象主管部门应当及时指定保护责任人。</w:t>
      </w:r>
    </w:p>
    <w:p w14:paraId="340CF1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（五）保护对象单独设立保护管理单位的，该单位为保护责任人。</w:t>
      </w:r>
    </w:p>
    <w:p w14:paraId="67234D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第二十六条 历史城区保护责任人应当落实整体保护、全面保护、系统保护政策和措施，履行下列保护责任：</w:t>
      </w:r>
    </w:p>
    <w:p w14:paraId="631AAF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（一）保护传统格局，合理控制建设规模，延续不同历史时期形成的风貌特征。</w:t>
      </w:r>
    </w:p>
    <w:p w14:paraId="5D103F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（二）保护历史城区及其所依存的城址环境，保护历代都城格局，保护历史轴线、历史道路、历史街巷和特色林荫道。</w:t>
      </w:r>
    </w:p>
    <w:p w14:paraId="5C87CD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（三）保护标志性景观节点及相关的重要景观视廊；保护体现历史城区“山水城林”的特色界面。</w:t>
      </w:r>
    </w:p>
    <w:p w14:paraId="7027BE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（四）改善基础设施、公共服务设施和人居环境，推动城市更新与历史文化保护传承相融合。</w:t>
      </w:r>
    </w:p>
    <w:p w14:paraId="59B9C2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（五）巡查保护对象和保护标志，免遭人为损毁破坏。</w:t>
      </w:r>
    </w:p>
    <w:p w14:paraId="3CE35A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（六）促进历史文化遗产活化利用和传承展示。</w:t>
      </w:r>
    </w:p>
    <w:p w14:paraId="716DCC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（七）法律、法规规定以及市人民政府确定的其他保护责任。</w:t>
      </w:r>
    </w:p>
    <w:p w14:paraId="5C82AC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第二十七条历史城区内的建设行为，应当严格落实历史城区的建筑高度控制要求；重要景观视廊、特色界面范围内的建设行为，还应当进行视线景观影响分析。确需调整的，应当按照法定程序修改相关规划。</w:t>
      </w:r>
    </w:p>
    <w:p w14:paraId="2ECC92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第二十八条历史文化街区、名镇、名村、传统村落、古镇、古村、历史地段的保护责任人应当落实保护规划要求，履行下列保护责任：</w:t>
      </w:r>
    </w:p>
    <w:p w14:paraId="048616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（一）保护和延续传统格局、街巷肌理和历史风貌特征；保护其所依存的地形地貌、河湖水系等自然景观和环境；</w:t>
      </w:r>
    </w:p>
    <w:p w14:paraId="3A1850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（二）组织开展日常巡查，防止保护对象遭受损毁破坏，发现保护对象有损毁破坏风险的，应当及时采取措施并报有关部门；</w:t>
      </w:r>
    </w:p>
    <w:p w14:paraId="0150FF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（三）执行保护政策和措施，落实活化利用和人居环境改善相关工作职责；</w:t>
      </w:r>
    </w:p>
    <w:p w14:paraId="4C14FB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（四）按照职责开展安全和防灾减灾工作；</w:t>
      </w:r>
    </w:p>
    <w:p w14:paraId="034446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（五）引导居民参与历史文化资源的保护，配合有关部门开展历史文化名城保护的宣传和展示活动。</w:t>
      </w:r>
    </w:p>
    <w:p w14:paraId="058E8E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第二十九条历史文化街区、名镇、名村核心保护范围和建设控制地带内以及传统村落、古镇、古村、历史地段保护范围内的建设活动，应当符合保护规划，并遵守下列要求：</w:t>
      </w:r>
    </w:p>
    <w:p w14:paraId="04A15A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（一）在历史文化街区、名镇、名村核心保护范围和建设控制地带内的建设活动，按照相关法律、法规和规章执行。</w:t>
      </w:r>
    </w:p>
    <w:p w14:paraId="3DFDC1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（二）在传统村落、古镇、古村、历史地段保护范围内的建设活动，应当延续传统格局和风貌，控制建（构）筑物的高度、体量、风格、色彩等。</w:t>
      </w:r>
    </w:p>
    <w:p w14:paraId="3AC1FF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三）不得擅自拆除历史文化街区、名镇、名村核心保护范围和建设控制地带内以及传统村落、古镇、古村、历史地段保护范围内的传统风貌建筑。在历史文化街区、名镇、名村核心保护范围内，因特殊情况需要拆除传统风貌建筑的，应当经市规划和自然资源主管部门会同文物主管部门批准；区人民政府、江北新区管理机构应当加强其他区域内传统风貌建筑的管理。</w:t>
      </w:r>
    </w:p>
    <w:p w14:paraId="4320EF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（四）不得擅自改变历史街巷的宽度、走向和线型。</w:t>
      </w:r>
    </w:p>
    <w:p w14:paraId="40EB82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三十条本市实施历史建筑保护告知书制度。市规划和自然资源主管部门制作历史建筑保护告知书，明确保护要求。历史建筑保护责任人开展历史建筑保护、修缮和转让、租赁等活动，应当符合历史建筑保护告知书要求。</w:t>
      </w:r>
    </w:p>
    <w:p w14:paraId="45653D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保护责任人有权从规划和自然资源以及城乡建设等部门获得保护、修缮、利用等方面的信息和技术指导。</w:t>
      </w:r>
    </w:p>
    <w:p w14:paraId="2EE995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第三十一条住房保障和房产主管部门应当定期组织检查历史建筑的使用和保护状况，对存在安全隐患的历史建筑，书面通知保护责任人履行维护和修缮的义务。保护责任人应当及时采取措施，消除隐患。</w:t>
      </w:r>
    </w:p>
    <w:p w14:paraId="46A5A3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历史建筑有损毁危险的，保护责任人应当制定维护修缮方案并组织实施；保护责任人不具备维护和修缮能力的，区人民政府、江北新区管理机构应当采取措施进行保护。</w:t>
      </w:r>
    </w:p>
    <w:p w14:paraId="78A6A3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三十二条历史建筑修缮维护费用由保护责任人承担。历史建筑经鉴定为危房需要修缮或者消险加固的，保护责任人可以按照房屋使用安全管理相关规定向所在地的区人民政府或者江北新区管理机构申请资金补助。</w:t>
      </w:r>
    </w:p>
    <w:p w14:paraId="43A13A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三十三条建设工程选址应当尽可能避开历史建筑，因特殊情况不能避开的，应当尽可能实施原址保护；因公共利益需要进行建设活动，无法对历史建筑实施原址保护、必须迁移异地保护或者拆除的，应当按照国家相关规定执行。</w:t>
      </w:r>
    </w:p>
    <w:p w14:paraId="50942F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历史建筑拆除后，有条件的应当择地重建，或者在原址立碑，保留和传递历史信息。</w:t>
      </w:r>
    </w:p>
    <w:p w14:paraId="3FE43D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三十四条工业遗产、农业文化遗产、灌溉工程遗产等历史文化遗产，以及主管部门认定的其他保护对象的保护管理按照国家和省相关规定执行；国家和省没有规定的，由保护对象主管部门制定保护管理办法，明确保护内容、保护要求、保护措施。</w:t>
      </w:r>
    </w:p>
    <w:p w14:paraId="765B74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三十五条市级以上文物保护单位保护范围内的建设工程规划设计方案经市人民政府审查后，依据文物保护相关法律、法规报批。市级以上文物保护单位建设控制地带内的建设工程规划设计方案，应当经国家规定的文物主管部门同意后，报市人民政府批准。</w:t>
      </w:r>
    </w:p>
    <w:p w14:paraId="0C8CA8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历史文化街区、名镇、名村核心保护范围和建设控制地带以及历史地段、历史建筑保护范围内的重大建设工程规划设计方案，应当经专家论证、社会公示后报市人民政府批准。</w:t>
      </w:r>
    </w:p>
    <w:p w14:paraId="54352B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市人民政府应当加强历史城区范围内和历史文化街区、历史地段保护范围内既有建筑的管理，不随意拆除具有保护价值的建（构）筑物，确需拆除的按规定程序报批。</w:t>
      </w:r>
    </w:p>
    <w:p w14:paraId="2FF7EA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第三十六条区人民政府、江北新区管理机构应当建立健全日常巡查管理机制，加强对历史文化名城保护对象的巡查，及时发现、制止和处理破坏保护对象或者擅自设置、移动、涂改、损毁保护标志等违法行为。</w:t>
      </w:r>
    </w:p>
    <w:p w14:paraId="33F3E8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三十七条本市建立南京历史文化名城保护专项评估制度。市规划和自然资源主管部门会同文化和旅游（文物）、城乡建设等部门按照国家专项评估相关要求，组织专业团队和专家对南京历史文化名城保护工作进行检查评估，并将评估结果报市人民政府。对评估发现的问题，区人民政府、江北新区管理机构应当组织有关部门和单位及时制定整改措施，明确整改期限，按时完成整改工作。</w:t>
      </w:r>
    </w:p>
    <w:p w14:paraId="7CBB87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第三十八条培育南京历史文化名城研究专业机构，提升南京历史文化名城保护专业水平。鼓励和支持高等院校研究团队和社会力量参与南京历史文化名城保护和传承工作。</w:t>
      </w:r>
    </w:p>
    <w:p w14:paraId="095A2A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历史文化保护有关部门根据需要组织开展基层管理人员和从业人员的专业培训，提升基层保护工作人员的专业水平。</w:t>
      </w:r>
    </w:p>
    <w:p w14:paraId="481620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第五章  传承利用</w:t>
      </w:r>
    </w:p>
    <w:p w14:paraId="1DBE5B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第三十九条构建历史文化保护传承体系和总体格局，健全保护传承机制，鼓励和支持南京历史文化名城保护对象的合理利用和有序开放，发挥历史文化遗产的社会教育作用，推动历史文化保护传承可持续发展。</w:t>
      </w:r>
    </w:p>
    <w:p w14:paraId="4ECC3D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第四十条区人民政府、江北新区管理机构可以根据历史文化保护和传承的实际需要，制定历史文化名城传承利用正负面清单，明确鼓励、支持或者限制、禁止的活动，并动态调整，按照规定报批后实施。</w:t>
      </w:r>
    </w:p>
    <w:p w14:paraId="43D7E0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第四十一条市、区人民政府和江北新区管理机构应当根据南京历史文化名城保护规划等相关规划，确定年度历史文化传承利用项目，统筹纳入年度政府投资计划、城乡建设计划等，按规定程序批准后组织实施。</w:t>
      </w:r>
    </w:p>
    <w:p w14:paraId="0A560E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四十二条历史文化街区、名镇、名村以及传统村落、古镇、古村、历史地段、历史建筑等保护对象的改造利用，其建筑密度、建筑间距、建筑退线退界、绿地率、停车配建、市政管线等无法达到现行技术标准或者规范要求的，在不减损周边地块相邻权益的前提下，建设单位可以按照保护要求，编制建设工程规划设计方案。市规划和自然资源主管部门会同有关部门组织专家论证，依法报市人民政府批准后实施。</w:t>
      </w:r>
    </w:p>
    <w:p w14:paraId="28B824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在对历史文化街区、名镇、名村以及传统村落、历史地段、历史建筑等保护对象进行传承利用时，因保护需要无法达到现行国家工程建设消防技术标准的，由市、区人民政府和江北新区管理机构组织规划和自然资源、文化和旅游（文物）、城乡建设、消防救援等部门和机构编制防火安全保障方案，组织开展论证后实施。古镇、古村等防火安全可以参照执行。</w:t>
      </w:r>
    </w:p>
    <w:p w14:paraId="22A137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历史文化名城传承利用项目符合城市更新、低效用地盘活利用等要求的，可以按照规定享受相关的土地、规划和不动产登记等政策。</w:t>
      </w:r>
    </w:p>
    <w:p w14:paraId="00F29C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第四十三条对不可移动文物、历史文化街区、名镇、名村、传统村落、古镇、古村、历史地段、历史建筑、农业文化遗产等的传承利用项目，市、区人民政府和江北新区管理机构可以给予适当补贴。</w:t>
      </w:r>
    </w:p>
    <w:p w14:paraId="1DFBA9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第四十四条  对居住类历史文化街区和历史地段的传承利用，应当延续其居住主体功能，因地制宜促进民生改善和风貌彰显。</w:t>
      </w:r>
    </w:p>
    <w:p w14:paraId="535481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市、区人民政府和江北新区管理机构应当建立以居民为主体的保护利用实施机制，有序开展历史文化街区和历史地段内保护建筑修缮、危房治理、成套化改造及消防安全能力提升等工作，完善市政基础设施及公共服务设施，改善居住条件、提升人居环境。</w:t>
      </w:r>
    </w:p>
    <w:p w14:paraId="587CA1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鼓励基于所有权人、使用权人意愿，采取公房腾退、私房收购、租赁腾迁及自我更新、厂企房搬迁等多元化手段促进活化利用。所有权人因改善生活条件实施自我更新的，在不减损周边地块相邻权益的前提下，可以依法新建或者加建必要的生活配套设施。</w:t>
      </w:r>
    </w:p>
    <w:p w14:paraId="45F5CD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鼓励社会主体参与活化利用，拓展经费来源，符合国家和省相关规定的保护利用项目，依法享受相关税费优惠和信贷支持政策。</w:t>
      </w:r>
    </w:p>
    <w:p w14:paraId="41892B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四十五条活化利用历史建筑，在保持原有外观风貌、典型构件的基础上，符合相关保护规划、历史文化名城传承利用正负面清单以及结构、防火安全保障方案等要求，不改变不动产登记用途的，可以进行内部装修或者变更使用功能。</w:t>
      </w:r>
    </w:p>
    <w:p w14:paraId="724EB5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四十六条推动公共服务向历史文化名镇、名村以及传统村落、古镇、古村延伸；加强镇、村历史文化的挖掘和价值阐发，利用传统技艺、传统民俗、传统节日、传统文艺等优秀文化资源，发展乡村旅游、休闲农业、文化创意等产业，促进乡村振兴与城乡文化联动发展。</w:t>
      </w:r>
    </w:p>
    <w:p w14:paraId="76AE7F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第四十七条市、区人民政府和江北新区管理机构应当加强对各类历史文化遗产的研究，挖掘、阐释南京长江文化、大运河文化以及南京“十朝都会”、“世界文学之都”等文化内涵和价值，打造南京文化标识。</w:t>
      </w:r>
    </w:p>
    <w:p w14:paraId="0C0A75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第四十八条市、区人民政府和江北新区管理机构应当组织实施历史文化传承利用项目，构建融入生产生活的历史文化展示线路、廊道和网络，鼓励线上线下相结合，采取下列方式系统展示南京历史文化特色：</w:t>
      </w:r>
    </w:p>
    <w:p w14:paraId="0B2B4E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（一）构建并展示六朝、南唐、明代和近现代、当代文化线路，以及红色、山水、文学、科教、工商等文化线路；</w:t>
      </w:r>
    </w:p>
    <w:p w14:paraId="1AE3C5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（二）构建体现南京历史文化价值特色的博物馆、陈列馆、考古遗址公园等体系；</w:t>
      </w:r>
    </w:p>
    <w:p w14:paraId="517C70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（三）为非物质文化遗产传播、展示提供空间和场所；</w:t>
      </w:r>
    </w:p>
    <w:p w14:paraId="42ACF2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（四）设立指引牌、标志牌、说明牌等，并运用现代科技手段展示历史文化信息；</w:t>
      </w:r>
    </w:p>
    <w:p w14:paraId="36996F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（五）举办传统节庆、传统市集，组织开展市民讲坛、专家讲座、场景体验等主题活动。</w:t>
      </w:r>
    </w:p>
    <w:p w14:paraId="182DDF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第四十九条市、区人民政府和江北新区管理机构应当探索培养历史文化保护传承相关的复合型专业人才队伍。</w:t>
      </w:r>
    </w:p>
    <w:p w14:paraId="56186A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教育、人力资源和社会保障等部门鼓励和支持学校、职业培训机构以及其他社会力量开设历史文化保护相关课程，培养专业和传统技能人才。</w:t>
      </w:r>
    </w:p>
    <w:p w14:paraId="469EA8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城乡建设主管部门会同人力资源和社会保障、农业农村等部门组织开展传统工匠专业培训和职业技能认定，推动传统技能活态传承。</w:t>
      </w:r>
    </w:p>
    <w:p w14:paraId="4938DD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第六章  法律责任</w:t>
      </w:r>
    </w:p>
    <w:p w14:paraId="69C7DA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第五十条对违反本条例规定的行为，法律、法规已有处罚规定的，从其规定。</w:t>
      </w:r>
    </w:p>
    <w:p w14:paraId="6AE9AE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本条例规定的行政处罚按照相对集中行政处罚权以及综合执法体制改革有关规定行使的，从其规定。</w:t>
      </w:r>
    </w:p>
    <w:p w14:paraId="59C760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五十一条违反本条例第十六条第五款规定，擅自迁移或者拆除预先保护对象的，由区人民政府或者江北新区管理机构确定的行政执法主体责令停止违法行为、限期恢复原状或者采取其他补救措施；有违法所得的，没收违法所得；造成严重后果的，对单位并处五万元以上十万元以下的罚款，对个人并处一万元以上五万元以下的罚款。</w:t>
      </w:r>
    </w:p>
    <w:p w14:paraId="373944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五十二条违反本条例规定，因保护不力，导致已经列入保护名录的传统村落、古镇、古村、历史地段被列入濒危名单的，由市、区人民政府或者江北新区管理机构按照管理权限通报批评；未按期整改或者整改不到位，致使传统村落、古镇、古村、历史地段退出保护名录的，由有权机关对直接负责的主管人员和其他直接责任人员给予处分。</w:t>
      </w:r>
    </w:p>
    <w:p w14:paraId="713D83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第五十三条违反本条例规定，造成保护对象严重损毁或者存在严重损毁风险，损害社会公共利益的，人民检察院等法律规定的机关和有关组织可以依法提起公益诉讼。</w:t>
      </w:r>
    </w:p>
    <w:p w14:paraId="452D14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五十四条市、区人民政府和江北新区管理机构及其有关部门的工作人员违反本条例规定，滥用职权、玩忽职守、徇私舞弊的，依法对直接负责的主管人员和其他直接责任人员给予处分；构成犯罪的，依法追究刑事责任。</w:t>
      </w:r>
    </w:p>
    <w:p w14:paraId="200449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第七章  附则</w:t>
      </w:r>
    </w:p>
    <w:p w14:paraId="508C02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第五十五条 本条例下列用语的含义：</w:t>
      </w:r>
    </w:p>
    <w:p w14:paraId="5E45E6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（一）历史地段，是指未核定公布为历史文化街区，且不在历史文化名镇、名村和传统村落保护范围内，能够真实反映一定历史时期传统风貌、历史格局和文化特色，具有一定保护价值的地段。</w:t>
      </w:r>
    </w:p>
    <w:p w14:paraId="7F6BE4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（二）古镇，是指尚未公布为历史文化名镇、具有特定历史时期传统风貌和格局的镇或者街道。</w:t>
      </w:r>
    </w:p>
    <w:p w14:paraId="7CA1A6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（三）古村，是指尚未公布为历史文化名村或者传统村落、具有特定历史时期传统风貌和格局的村落。</w:t>
      </w:r>
    </w:p>
    <w:p w14:paraId="0C7EA1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（四）历史街巷，是指具有一定历史文化内涵、特色明显、保存完整、对总体风貌特征起着重要作用的街巷。</w:t>
      </w:r>
    </w:p>
    <w:p w14:paraId="447A19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五）传统风貌建筑，是指位于历史文化街区、名镇、名村以及传统村落、历史地段、古镇、古村的保护范围内，除不可移动文物、历史建筑外，具有一定建成历史，对整体风貌特征形成具有价值和意义的建（构）筑物。</w:t>
      </w:r>
    </w:p>
    <w:p w14:paraId="092800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firstLine="420"/>
        <w:jc w:val="both"/>
        <w:rPr>
          <w:rFonts w:hint="eastAsia" w:ascii="宋体" w:hAnsi="宋体" w:eastAsia="宋体" w:cs="宋体"/>
          <w:color w:val="333333"/>
          <w:sz w:val="16"/>
          <w:szCs w:val="16"/>
        </w:rPr>
      </w:pPr>
      <w:r>
        <w:rPr>
          <w:rFonts w:hint="eastAsia" w:ascii="宋体" w:hAnsi="宋体" w:eastAsia="宋体" w:cs="宋体"/>
          <w:i w:val="0"/>
          <w:iCs w:val="0"/>
          <w:caps w:val="0"/>
          <w:color w:val="333333"/>
          <w:spacing w:val="0"/>
          <w:sz w:val="16"/>
          <w:szCs w:val="16"/>
          <w:bdr w:val="none" w:color="auto" w:sz="0" w:space="0"/>
        </w:rPr>
        <w:t>第五十六条本条例自2026年7月1日起施行。2010年6月30日南京市第十四届人民代表大会常务委员会第十七次会议通过的《南京市历史文化名城保护条例》同时废止。</w:t>
      </w:r>
    </w:p>
    <w:p w14:paraId="0A97B9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00" w:lineRule="atLeast"/>
        <w:ind w:left="0" w:right="0" w:firstLine="0"/>
        <w:jc w:val="right"/>
        <w:rPr>
          <w:rFonts w:hint="eastAsia" w:ascii="微软雅黑" w:hAnsi="微软雅黑" w:eastAsia="微软雅黑" w:cs="微软雅黑"/>
          <w:i w:val="0"/>
          <w:iCs w:val="0"/>
          <w:caps w:val="0"/>
          <w:color w:val="4D4D4D"/>
          <w:spacing w:val="0"/>
          <w:sz w:val="12"/>
          <w:szCs w:val="12"/>
        </w:rPr>
      </w:pPr>
      <w:r>
        <w:rPr>
          <w:rFonts w:hint="eastAsia" w:ascii="微软雅黑" w:hAnsi="微软雅黑" w:eastAsia="微软雅黑" w:cs="微软雅黑"/>
          <w:i w:val="0"/>
          <w:iCs w:val="0"/>
          <w:caps w:val="0"/>
          <w:color w:val="4D4D4D"/>
          <w:spacing w:val="0"/>
          <w:kern w:val="0"/>
          <w:sz w:val="12"/>
          <w:szCs w:val="12"/>
          <w:u w:val="none"/>
          <w:bdr w:val="none" w:color="auto" w:sz="0" w:space="0"/>
          <w:lang w:val="en-US" w:eastAsia="zh-CN" w:bidi="ar"/>
        </w:rPr>
        <w:fldChar w:fldCharType="begin"/>
      </w:r>
      <w:r>
        <w:rPr>
          <w:rFonts w:hint="eastAsia" w:ascii="微软雅黑" w:hAnsi="微软雅黑" w:eastAsia="微软雅黑" w:cs="微软雅黑"/>
          <w:i w:val="0"/>
          <w:iCs w:val="0"/>
          <w:caps w:val="0"/>
          <w:color w:val="4D4D4D"/>
          <w:spacing w:val="0"/>
          <w:kern w:val="0"/>
          <w:sz w:val="12"/>
          <w:szCs w:val="12"/>
          <w:u w:val="none"/>
          <w:bdr w:val="none" w:color="auto" w:sz="0" w:space="0"/>
          <w:lang w:val="en-US" w:eastAsia="zh-CN" w:bidi="ar"/>
        </w:rPr>
        <w:instrText xml:space="preserve"> HYPERLINK "javascript:window.print();" </w:instrText>
      </w:r>
      <w:r>
        <w:rPr>
          <w:rFonts w:hint="eastAsia" w:ascii="微软雅黑" w:hAnsi="微软雅黑" w:eastAsia="微软雅黑" w:cs="微软雅黑"/>
          <w:i w:val="0"/>
          <w:iCs w:val="0"/>
          <w:caps w:val="0"/>
          <w:color w:val="4D4D4D"/>
          <w:spacing w:val="0"/>
          <w:kern w:val="0"/>
          <w:sz w:val="12"/>
          <w:szCs w:val="12"/>
          <w:u w:val="none"/>
          <w:bdr w:val="none" w:color="auto" w:sz="0" w:space="0"/>
          <w:lang w:val="en-US" w:eastAsia="zh-CN" w:bidi="ar"/>
        </w:rPr>
        <w:fldChar w:fldCharType="separate"/>
      </w:r>
      <w:r>
        <w:rPr>
          <w:rStyle w:val="5"/>
          <w:rFonts w:hint="eastAsia" w:ascii="微软雅黑" w:hAnsi="微软雅黑" w:eastAsia="微软雅黑" w:cs="微软雅黑"/>
          <w:i w:val="0"/>
          <w:iCs w:val="0"/>
          <w:caps w:val="0"/>
          <w:color w:val="4D4D4D"/>
          <w:spacing w:val="0"/>
          <w:sz w:val="12"/>
          <w:szCs w:val="12"/>
          <w:u w:val="none"/>
          <w:bdr w:val="none" w:color="auto" w:sz="0" w:space="0"/>
        </w:rPr>
        <w:t>【打印此页】</w:t>
      </w:r>
      <w:r>
        <w:rPr>
          <w:rFonts w:hint="eastAsia" w:ascii="微软雅黑" w:hAnsi="微软雅黑" w:eastAsia="微软雅黑" w:cs="微软雅黑"/>
          <w:i w:val="0"/>
          <w:iCs w:val="0"/>
          <w:caps w:val="0"/>
          <w:color w:val="4D4D4D"/>
          <w:spacing w:val="0"/>
          <w:kern w:val="0"/>
          <w:sz w:val="12"/>
          <w:szCs w:val="12"/>
          <w:u w:val="none"/>
          <w:bdr w:val="none" w:color="auto" w:sz="0" w:space="0"/>
          <w:lang w:val="en-US" w:eastAsia="zh-CN" w:bidi="ar"/>
        </w:rPr>
        <w:fldChar w:fldCharType="end"/>
      </w:r>
      <w:r>
        <w:rPr>
          <w:rFonts w:hint="eastAsia" w:ascii="微软雅黑" w:hAnsi="微软雅黑" w:eastAsia="微软雅黑" w:cs="微软雅黑"/>
          <w:i w:val="0"/>
          <w:iCs w:val="0"/>
          <w:caps w:val="0"/>
          <w:color w:val="4D4D4D"/>
          <w:spacing w:val="0"/>
          <w:kern w:val="0"/>
          <w:sz w:val="12"/>
          <w:szCs w:val="12"/>
          <w:bdr w:val="none" w:color="auto" w:sz="0" w:space="0"/>
          <w:lang w:val="en-US" w:eastAsia="zh-CN" w:bidi="ar"/>
        </w:rPr>
        <w:t> </w:t>
      </w:r>
      <w:r>
        <w:rPr>
          <w:rFonts w:hint="eastAsia" w:ascii="微软雅黑" w:hAnsi="微软雅黑" w:eastAsia="微软雅黑" w:cs="微软雅黑"/>
          <w:i w:val="0"/>
          <w:iCs w:val="0"/>
          <w:caps w:val="0"/>
          <w:color w:val="4D4D4D"/>
          <w:spacing w:val="0"/>
          <w:kern w:val="0"/>
          <w:sz w:val="12"/>
          <w:szCs w:val="12"/>
          <w:u w:val="none"/>
          <w:bdr w:val="none" w:color="auto" w:sz="0" w:space="0"/>
          <w:lang w:val="en-US" w:eastAsia="zh-CN" w:bidi="ar"/>
        </w:rPr>
        <w:fldChar w:fldCharType="begin"/>
      </w:r>
      <w:r>
        <w:rPr>
          <w:rFonts w:hint="eastAsia" w:ascii="微软雅黑" w:hAnsi="微软雅黑" w:eastAsia="微软雅黑" w:cs="微软雅黑"/>
          <w:i w:val="0"/>
          <w:iCs w:val="0"/>
          <w:caps w:val="0"/>
          <w:color w:val="4D4D4D"/>
          <w:spacing w:val="0"/>
          <w:kern w:val="0"/>
          <w:sz w:val="12"/>
          <w:szCs w:val="12"/>
          <w:u w:val="none"/>
          <w:bdr w:val="none" w:color="auto" w:sz="0" w:space="0"/>
          <w:lang w:val="en-US" w:eastAsia="zh-CN" w:bidi="ar"/>
        </w:rPr>
        <w:instrText xml:space="preserve"> HYPERLINK "javascript:closeWin()" </w:instrText>
      </w:r>
      <w:r>
        <w:rPr>
          <w:rFonts w:hint="eastAsia" w:ascii="微软雅黑" w:hAnsi="微软雅黑" w:eastAsia="微软雅黑" w:cs="微软雅黑"/>
          <w:i w:val="0"/>
          <w:iCs w:val="0"/>
          <w:caps w:val="0"/>
          <w:color w:val="4D4D4D"/>
          <w:spacing w:val="0"/>
          <w:kern w:val="0"/>
          <w:sz w:val="12"/>
          <w:szCs w:val="12"/>
          <w:u w:val="none"/>
          <w:bdr w:val="none" w:color="auto" w:sz="0" w:space="0"/>
          <w:lang w:val="en-US" w:eastAsia="zh-CN" w:bidi="ar"/>
        </w:rPr>
        <w:fldChar w:fldCharType="separate"/>
      </w:r>
      <w:r>
        <w:rPr>
          <w:rStyle w:val="5"/>
          <w:rFonts w:hint="eastAsia" w:ascii="微软雅黑" w:hAnsi="微软雅黑" w:eastAsia="微软雅黑" w:cs="微软雅黑"/>
          <w:i w:val="0"/>
          <w:iCs w:val="0"/>
          <w:caps w:val="0"/>
          <w:color w:val="4D4D4D"/>
          <w:spacing w:val="0"/>
          <w:sz w:val="12"/>
          <w:szCs w:val="12"/>
          <w:u w:val="none"/>
          <w:bdr w:val="none" w:color="auto" w:sz="0" w:space="0"/>
        </w:rPr>
        <w:t>【关闭窗口】</w:t>
      </w:r>
      <w:r>
        <w:rPr>
          <w:rFonts w:hint="eastAsia" w:ascii="微软雅黑" w:hAnsi="微软雅黑" w:eastAsia="微软雅黑" w:cs="微软雅黑"/>
          <w:i w:val="0"/>
          <w:iCs w:val="0"/>
          <w:caps w:val="0"/>
          <w:color w:val="4D4D4D"/>
          <w:spacing w:val="0"/>
          <w:kern w:val="0"/>
          <w:sz w:val="12"/>
          <w:szCs w:val="12"/>
          <w:u w:val="none"/>
          <w:bdr w:val="none" w:color="auto" w:sz="0" w:space="0"/>
          <w:lang w:val="en-US" w:eastAsia="zh-CN" w:bidi="ar"/>
        </w:rPr>
        <w:fldChar w:fldCharType="end"/>
      </w:r>
    </w:p>
    <w:p w14:paraId="632EB1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0" w:afterAutospacing="0" w:line="330" w:lineRule="atLeast"/>
        <w:ind w:left="0" w:right="0"/>
        <w:jc w:val="center"/>
        <w:rPr>
          <w:rFonts w:hint="eastAsia" w:ascii="微软雅黑" w:hAnsi="微软雅黑" w:eastAsia="微软雅黑" w:cs="微软雅黑"/>
          <w:color w:val="000000"/>
          <w:sz w:val="16"/>
          <w:szCs w:val="16"/>
        </w:rPr>
      </w:pPr>
      <w:r>
        <w:rPr>
          <w:rFonts w:hint="eastAsia" w:ascii="微软雅黑" w:hAnsi="微软雅黑" w:eastAsia="微软雅黑" w:cs="微软雅黑"/>
          <w:i w:val="0"/>
          <w:iCs w:val="0"/>
          <w:caps w:val="0"/>
          <w:color w:val="000000"/>
          <w:spacing w:val="0"/>
          <w:sz w:val="16"/>
          <w:szCs w:val="16"/>
          <w:bdr w:val="none" w:color="auto" w:sz="0" w:space="0"/>
        </w:rPr>
        <w:t>主办单位：南京市人民代表大会常务委员会办公厅  支持单位：南京市城市数字治理中心</w:t>
      </w:r>
    </w:p>
    <w:p w14:paraId="54CD00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50" w:beforeAutospacing="0" w:after="0" w:afterAutospacing="0" w:line="330" w:lineRule="atLeast"/>
        <w:ind w:left="0" w:right="0"/>
        <w:jc w:val="both"/>
        <w:rPr>
          <w:rFonts w:hint="eastAsia" w:ascii="微软雅黑" w:hAnsi="微软雅黑" w:eastAsia="微软雅黑" w:cs="微软雅黑"/>
          <w:i w:val="0"/>
          <w:iCs w:val="0"/>
          <w:caps w:val="0"/>
          <w:color w:val="000000"/>
          <w:spacing w:val="0"/>
          <w:sz w:val="12"/>
          <w:szCs w:val="12"/>
        </w:rPr>
      </w:pPr>
      <w:bookmarkStart w:id="0" w:name="_GoBack"/>
      <w:bookmarkEnd w:id="0"/>
    </w:p>
    <w:p w14:paraId="13BBFB0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EFB6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2026-04-29T14:16:26Z</dcterms:created>
  <cp:lastModifiedBy>A0-6</cp:lastModifiedBy>
  <dcterms:modified xsi:type="dcterms:W3CDTF">2026-04-29T14:17:47Z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KSOTemplateDocerSaveRecord">
    <vt:lpwstr>eyJoZGlkIjoiNGE5ZDQwMzEyMmIwNzFjOGQ0ZGVjYjczOTFiYWIzNTgiLCJ1c2VySWQiOiI3NTUwNzAxNzAifQ==</vt:lpwstr>
  </property>
  <property fmtid="{D5CDD505-2E9C-101B-9397-08002B2CF9AE}" pid="4" name="ICV">
    <vt:lpwstr>6F2C39757A5D4B8FA7B903009DB0FDB8_12</vt:lpwstr>
  </property>
</Properties>
</file>