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D60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21"/>
          <w:szCs w:val="21"/>
        </w:rPr>
      </w:pPr>
      <w:bookmarkStart w:id="0" w:name="_GoBack"/>
      <w:r>
        <w:rPr>
          <w:color w:val="1F2329"/>
          <w:sz w:val="21"/>
          <w:szCs w:val="21"/>
          <w:bdr w:val="none" w:color="auto" w:sz="0" w:space="0"/>
        </w:rPr>
        <w:t>《南京统计年鉴（1978—2012）》</w:t>
      </w:r>
      <w:bookmarkEnd w:id="0"/>
      <w:r>
        <w:rPr>
          <w:color w:val="1F2329"/>
          <w:sz w:val="21"/>
          <w:szCs w:val="21"/>
          <w:bdr w:val="none" w:color="auto" w:sz="0" w:space="0"/>
        </w:rPr>
        <w:t>（南京市统计局）</w:t>
      </w:r>
    </w:p>
    <w:p w14:paraId="2F327B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一、编纂说明（原文）</w:t>
      </w:r>
    </w:p>
    <w:p w14:paraId="5FC4F8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《南京统计年鉴》是南京市统计局按年度编纂的大型资料性工具书，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1978 年创刊，每年一卷，至 2012 年共 35 卷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，系统收录 1978—2012 年南京市国民经济和社会发展各项统计数据，全面反映改革开放以来南京经济社会发展成就、变化趋势与结构特征。</w:t>
      </w:r>
    </w:p>
    <w:p w14:paraId="76EC6E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编纂单位：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南京市统计局</w:t>
      </w:r>
    </w:p>
    <w:p w14:paraId="72DDB0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出版单位：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中国统计出版社</w:t>
      </w:r>
    </w:p>
    <w:p w14:paraId="57C006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核心时段：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1978—2012 年</w:t>
      </w:r>
    </w:p>
    <w:p w14:paraId="7541E0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核心内容：覆盖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综合、核算、人口、工业、农业、投资、贸易、财政、科教、城建、环保</w:t>
      </w:r>
      <w:r>
        <w:rPr>
          <w:color w:val="1F2329"/>
          <w:sz w:val="16"/>
          <w:szCs w:val="16"/>
          <w:bdr w:val="none" w:color="auto" w:sz="0" w:space="0"/>
        </w:rPr>
        <w:t>等 18 大类，含历年数据、指标解释与附录。</w:t>
      </w:r>
    </w:p>
    <w:p w14:paraId="6BCEF59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工业口径：1978—1997 年为 “乡及乡以上工业”；1998 年后为 “规模以上工业”（年主营业务收入 500 万元及以上）；2011 年后执行 GB/T 4754-2011 行业分类。</w:t>
      </w:r>
    </w:p>
    <w:p w14:paraId="3E9956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二、全书篇目结构（1978—2012 年统一框架）</w:t>
      </w:r>
    </w:p>
    <w:p w14:paraId="2B6E1EB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综合（历年 GDP、人均 GDP、产业结构、主要经济指标）</w:t>
      </w:r>
    </w:p>
    <w:p w14:paraId="20AB64F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国民经济核算（地区生产总值、三次产业增加值、支出法 GDP）</w:t>
      </w:r>
    </w:p>
    <w:p w14:paraId="58F4FD2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人口与就业（户籍 / 常住人口、就业人员、城镇登记失业率）</w:t>
      </w:r>
    </w:p>
    <w:p w14:paraId="54B74DB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人民生活（城乡居民收入、消费支出、恩格尔系数）</w:t>
      </w:r>
    </w:p>
    <w:p w14:paraId="3A0A524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价格指数（CPI、PPI、商品零售价格指数）</w:t>
      </w:r>
    </w:p>
    <w:p w14:paraId="61CDDC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农业（农林牧渔产值、农产品产量、耕地面积）</w:t>
      </w:r>
    </w:p>
    <w:p w14:paraId="5637764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工业和能源（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核心篇</w:t>
      </w:r>
      <w:r>
        <w:rPr>
          <w:color w:val="1F2329"/>
          <w:sz w:val="16"/>
          <w:szCs w:val="16"/>
          <w:bdr w:val="none" w:color="auto" w:sz="0" w:space="0"/>
        </w:rPr>
        <w:t>：工业总产值、增加值、企业数、所有制结构、行业分布、能源消耗）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</w:p>
    <w:p w14:paraId="51B7F6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交通运输邮电（货运 / 客运量、港口吞吐量、邮电业务量）</w:t>
      </w:r>
    </w:p>
    <w:p w14:paraId="5C1BEF5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固定资产投资和建筑业（投资规模、房地产、建筑业产值）</w:t>
      </w:r>
    </w:p>
    <w:p w14:paraId="17F66E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批发零售住宿餐饮（社会消费品零售总额、商品销售）</w:t>
      </w:r>
    </w:p>
    <w:p w14:paraId="2647D0F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对外经济贸易和旅游（进出口、外资、旅游收入 / 人次）</w:t>
      </w:r>
    </w:p>
    <w:p w14:paraId="7612B0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财政金融保险（财政收支、存贷款、保险业务）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</w:p>
    <w:p w14:paraId="4FCCCD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科技教育（研发投入、专利、高校 / 中小学情况）</w:t>
      </w:r>
    </w:p>
    <w:p w14:paraId="6590829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文化卫生体育（文化设施、医疗床位、体育场馆）</w:t>
      </w:r>
    </w:p>
    <w:p w14:paraId="34C9E82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司法福利（民政、社保、法律援助）</w:t>
      </w:r>
    </w:p>
    <w:p w14:paraId="46C56A2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城市建设与环保（供水、燃气、绿化、污染排放与治理）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</w:p>
    <w:p w14:paraId="64BB78D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区县经济（13 个区县核心指标）</w:t>
      </w:r>
    </w:p>
    <w:p w14:paraId="39144D5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附录（历史数据、指标解释、行业分类）</w:t>
      </w:r>
    </w:p>
    <w:p w14:paraId="2C8531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三、工业篇核心数据原文（1978—2012 年，节选）</w:t>
      </w:r>
    </w:p>
    <w:p w14:paraId="64B6DF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（一）工业总产值（1978—2012 年，当年价）</w:t>
      </w:r>
    </w:p>
    <w:p w14:paraId="698342C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1978 年：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37.9 亿元</w:t>
      </w:r>
      <w:r>
        <w:rPr>
          <w:color w:val="1F2329"/>
          <w:sz w:val="16"/>
          <w:szCs w:val="16"/>
          <w:bdr w:val="none" w:color="auto" w:sz="0" w:space="0"/>
        </w:rPr>
        <w:t>（重工业占比 76%，化工、机械、电子为支柱）</w:t>
      </w:r>
    </w:p>
    <w:p w14:paraId="3533F59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1985 年：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150.2 亿元</w:t>
      </w:r>
      <w:r>
        <w:rPr>
          <w:color w:val="1F2329"/>
          <w:sz w:val="16"/>
          <w:szCs w:val="16"/>
          <w:bdr w:val="none" w:color="auto" w:sz="0" w:space="0"/>
        </w:rPr>
        <w:t>（乡镇工业崛起，轻工业占比提升至 32%）</w:t>
      </w:r>
    </w:p>
    <w:p w14:paraId="69F239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1990 年：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342.4 亿元</w:t>
      </w:r>
      <w:r>
        <w:rPr>
          <w:color w:val="1F2329"/>
          <w:sz w:val="16"/>
          <w:szCs w:val="16"/>
          <w:bdr w:val="none" w:color="auto" w:sz="0" w:space="0"/>
        </w:rPr>
        <w:t>（石化、电子、汽车、机械四大支柱成型）</w:t>
      </w:r>
    </w:p>
    <w:p w14:paraId="79C923A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1995 年：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1180.8 亿元</w:t>
      </w:r>
      <w:r>
        <w:rPr>
          <w:color w:val="1F2329"/>
          <w:sz w:val="16"/>
          <w:szCs w:val="16"/>
          <w:bdr w:val="none" w:color="auto" w:sz="0" w:space="0"/>
        </w:rPr>
        <w:t>（外向型工业加速，“三资” 企业产值占比 18%）</w:t>
      </w:r>
    </w:p>
    <w:p w14:paraId="1A3672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2000 年：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1850.0 亿元</w:t>
      </w:r>
      <w:r>
        <w:rPr>
          <w:color w:val="1F2329"/>
          <w:sz w:val="16"/>
          <w:szCs w:val="16"/>
          <w:bdr w:val="none" w:color="auto" w:sz="0" w:space="0"/>
        </w:rPr>
        <w:t>（“九五” 末，高新技术产业产值占比 25%）</w:t>
      </w:r>
    </w:p>
    <w:p w14:paraId="07F3B9C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2005 年：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3520.0 亿元</w:t>
      </w:r>
      <w:r>
        <w:rPr>
          <w:color w:val="1F2329"/>
          <w:sz w:val="16"/>
          <w:szCs w:val="16"/>
          <w:bdr w:val="none" w:color="auto" w:sz="0" w:space="0"/>
        </w:rPr>
        <w:t>（“十五” 末，四大支柱产值占比 70%）</w:t>
      </w:r>
    </w:p>
    <w:p w14:paraId="148FB7F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2010 年：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8050.0 亿元</w:t>
      </w:r>
      <w:r>
        <w:rPr>
          <w:color w:val="1F2329"/>
          <w:sz w:val="16"/>
          <w:szCs w:val="16"/>
          <w:bdr w:val="none" w:color="auto" w:sz="0" w:space="0"/>
        </w:rPr>
        <w:t>（“十一五” 末，规模以上工业增加值 2200 亿元）</w:t>
      </w:r>
    </w:p>
    <w:p w14:paraId="3C3D51D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2012 年：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10200.0 亿元</w:t>
      </w:r>
      <w:r>
        <w:rPr>
          <w:color w:val="1F2329"/>
          <w:sz w:val="16"/>
          <w:szCs w:val="16"/>
          <w:bdr w:val="none" w:color="auto" w:sz="0" w:space="0"/>
        </w:rPr>
        <w:t>（规模以上工业增加值 2690 亿元，高新技术产业产值占比 42%）</w:t>
      </w:r>
    </w:p>
    <w:p w14:paraId="6A2F54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（二）工业所有制结构（1978—2012 年，占比）</w:t>
      </w:r>
    </w:p>
    <w:p w14:paraId="43371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836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3"/>
        <w:gridCol w:w="1645"/>
        <w:gridCol w:w="1645"/>
        <w:gridCol w:w="1645"/>
        <w:gridCol w:w="1715"/>
      </w:tblGrid>
      <w:tr w14:paraId="02790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BEDE2E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shd w:val="clear"/>
            <w:vAlign w:val="center"/>
          </w:tcPr>
          <w:p w14:paraId="19BDB89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国有</w:t>
            </w:r>
          </w:p>
        </w:tc>
        <w:tc>
          <w:tcPr>
            <w:tcW w:w="0" w:type="auto"/>
            <w:shd w:val="clear"/>
            <w:vAlign w:val="center"/>
          </w:tcPr>
          <w:p w14:paraId="0AA923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集体</w:t>
            </w:r>
          </w:p>
        </w:tc>
        <w:tc>
          <w:tcPr>
            <w:tcW w:w="0" w:type="auto"/>
            <w:shd w:val="clear"/>
            <w:vAlign w:val="center"/>
          </w:tcPr>
          <w:p w14:paraId="2305D0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民营</w:t>
            </w:r>
          </w:p>
        </w:tc>
        <w:tc>
          <w:tcPr>
            <w:tcW w:w="1670" w:type="dxa"/>
            <w:shd w:val="clear"/>
            <w:vAlign w:val="center"/>
          </w:tcPr>
          <w:p w14:paraId="07FAD8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三资</w:t>
            </w:r>
          </w:p>
        </w:tc>
      </w:tr>
      <w:tr w14:paraId="70A68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EE724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1978</w:t>
            </w:r>
          </w:p>
        </w:tc>
        <w:tc>
          <w:tcPr>
            <w:tcW w:w="0" w:type="auto"/>
            <w:shd w:val="clear"/>
            <w:vAlign w:val="center"/>
          </w:tcPr>
          <w:p w14:paraId="2ABE37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82%</w:t>
            </w:r>
          </w:p>
        </w:tc>
        <w:tc>
          <w:tcPr>
            <w:tcW w:w="0" w:type="auto"/>
            <w:shd w:val="clear"/>
            <w:vAlign w:val="center"/>
          </w:tcPr>
          <w:p w14:paraId="2D8106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18%</w:t>
            </w:r>
          </w:p>
        </w:tc>
        <w:tc>
          <w:tcPr>
            <w:tcW w:w="0" w:type="auto"/>
            <w:shd w:val="clear"/>
            <w:vAlign w:val="center"/>
          </w:tcPr>
          <w:p w14:paraId="2D291C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1670" w:type="dxa"/>
            <w:shd w:val="clear"/>
            <w:vAlign w:val="center"/>
          </w:tcPr>
          <w:p w14:paraId="6C3D0A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0%</w:t>
            </w:r>
          </w:p>
        </w:tc>
      </w:tr>
      <w:tr w14:paraId="3A7D0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D1799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1990</w:t>
            </w:r>
          </w:p>
        </w:tc>
        <w:tc>
          <w:tcPr>
            <w:tcW w:w="0" w:type="auto"/>
            <w:shd w:val="clear"/>
            <w:vAlign w:val="center"/>
          </w:tcPr>
          <w:p w14:paraId="207829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65%</w:t>
            </w:r>
          </w:p>
        </w:tc>
        <w:tc>
          <w:tcPr>
            <w:tcW w:w="0" w:type="auto"/>
            <w:shd w:val="clear"/>
            <w:vAlign w:val="center"/>
          </w:tcPr>
          <w:p w14:paraId="7DE97D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28%</w:t>
            </w:r>
          </w:p>
        </w:tc>
        <w:tc>
          <w:tcPr>
            <w:tcW w:w="0" w:type="auto"/>
            <w:shd w:val="clear"/>
            <w:vAlign w:val="center"/>
          </w:tcPr>
          <w:p w14:paraId="5DC98D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1670" w:type="dxa"/>
            <w:shd w:val="clear"/>
            <w:vAlign w:val="center"/>
          </w:tcPr>
          <w:p w14:paraId="15BC8D9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2%</w:t>
            </w:r>
          </w:p>
        </w:tc>
      </w:tr>
      <w:tr w14:paraId="0CB26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72203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0" w:type="auto"/>
            <w:shd w:val="clear"/>
            <w:vAlign w:val="center"/>
          </w:tcPr>
          <w:p w14:paraId="243404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38%</w:t>
            </w:r>
          </w:p>
        </w:tc>
        <w:tc>
          <w:tcPr>
            <w:tcW w:w="0" w:type="auto"/>
            <w:shd w:val="clear"/>
            <w:vAlign w:val="center"/>
          </w:tcPr>
          <w:p w14:paraId="0221C04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12%</w:t>
            </w:r>
          </w:p>
        </w:tc>
        <w:tc>
          <w:tcPr>
            <w:tcW w:w="0" w:type="auto"/>
            <w:shd w:val="clear"/>
            <w:vAlign w:val="center"/>
          </w:tcPr>
          <w:p w14:paraId="3778E7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35%</w:t>
            </w:r>
          </w:p>
        </w:tc>
        <w:tc>
          <w:tcPr>
            <w:tcW w:w="1670" w:type="dxa"/>
            <w:shd w:val="clear"/>
            <w:vAlign w:val="center"/>
          </w:tcPr>
          <w:p w14:paraId="4917837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15%</w:t>
            </w:r>
          </w:p>
        </w:tc>
      </w:tr>
      <w:tr w14:paraId="7BD8B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68" w:type="dxa"/>
            <w:shd w:val="clear"/>
            <w:vAlign w:val="center"/>
          </w:tcPr>
          <w:p w14:paraId="7A401C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2012</w:t>
            </w:r>
          </w:p>
        </w:tc>
        <w:tc>
          <w:tcPr>
            <w:tcW w:w="1615" w:type="dxa"/>
            <w:shd w:val="clear"/>
            <w:vAlign w:val="center"/>
          </w:tcPr>
          <w:p w14:paraId="52D408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1615" w:type="dxa"/>
            <w:shd w:val="clear"/>
            <w:vAlign w:val="center"/>
          </w:tcPr>
          <w:p w14:paraId="6C585A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3%</w:t>
            </w:r>
          </w:p>
        </w:tc>
        <w:tc>
          <w:tcPr>
            <w:tcW w:w="1615" w:type="dxa"/>
            <w:shd w:val="clear"/>
            <w:vAlign w:val="center"/>
          </w:tcPr>
          <w:p w14:paraId="3290D5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52%</w:t>
            </w:r>
          </w:p>
        </w:tc>
        <w:tc>
          <w:tcPr>
            <w:tcW w:w="1670" w:type="dxa"/>
            <w:shd w:val="clear"/>
            <w:vAlign w:val="center"/>
          </w:tcPr>
          <w:p w14:paraId="043A66E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30%</w:t>
            </w:r>
          </w:p>
        </w:tc>
      </w:tr>
    </w:tbl>
    <w:p w14:paraId="7F7C88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（三）化工工业核心数据（南化公司为主，1978—2012 年）</w:t>
      </w:r>
    </w:p>
    <w:p w14:paraId="0C40C6F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1978 年：南化公司硫酸产量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82 万吨</w:t>
      </w:r>
      <w:r>
        <w:rPr>
          <w:color w:val="1F2329"/>
          <w:sz w:val="16"/>
          <w:szCs w:val="16"/>
          <w:bdr w:val="none" w:color="auto" w:sz="0" w:space="0"/>
        </w:rPr>
        <w:t>、合成氨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35 万吨</w:t>
      </w:r>
      <w:r>
        <w:rPr>
          <w:color w:val="1F2329"/>
          <w:sz w:val="16"/>
          <w:szCs w:val="16"/>
          <w:bdr w:val="none" w:color="auto" w:sz="0" w:space="0"/>
        </w:rPr>
        <w:t>、硫酸铵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18 万吨</w:t>
      </w:r>
    </w:p>
    <w:p w14:paraId="4DF1F5A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1990 年：硫酸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110 万吨</w:t>
      </w:r>
      <w:r>
        <w:rPr>
          <w:color w:val="1F2329"/>
          <w:sz w:val="16"/>
          <w:szCs w:val="16"/>
          <w:bdr w:val="none" w:color="auto" w:sz="0" w:space="0"/>
        </w:rPr>
        <w:t>、合成氨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42 万吨</w:t>
      </w:r>
      <w:r>
        <w:rPr>
          <w:color w:val="1F2329"/>
          <w:sz w:val="16"/>
          <w:szCs w:val="16"/>
          <w:bdr w:val="none" w:color="auto" w:sz="0" w:space="0"/>
        </w:rPr>
        <w:t>、硝酸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12 万吨</w:t>
      </w:r>
    </w:p>
    <w:p w14:paraId="47708C2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2000 年：硫酸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150 万吨</w:t>
      </w:r>
      <w:r>
        <w:rPr>
          <w:color w:val="1F2329"/>
          <w:sz w:val="16"/>
          <w:szCs w:val="16"/>
          <w:bdr w:val="none" w:color="auto" w:sz="0" w:space="0"/>
        </w:rPr>
        <w:t>、合成氨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50 万吨</w:t>
      </w:r>
      <w:r>
        <w:rPr>
          <w:color w:val="1F2329"/>
          <w:sz w:val="16"/>
          <w:szCs w:val="16"/>
          <w:bdr w:val="none" w:color="auto" w:sz="0" w:space="0"/>
        </w:rPr>
        <w:t>、硝酸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20 万吨</w:t>
      </w:r>
    </w:p>
    <w:p w14:paraId="5F82280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2012 年：南化公司化工总产值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180 亿元</w:t>
      </w:r>
      <w:r>
        <w:rPr>
          <w:color w:val="1F2329"/>
          <w:sz w:val="16"/>
          <w:szCs w:val="16"/>
          <w:bdr w:val="none" w:color="auto" w:sz="0" w:space="0"/>
        </w:rPr>
        <w:t>，硫酸、合成氨产能居全国前列</w:t>
      </w:r>
    </w:p>
    <w:p w14:paraId="2FD255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21FF5E"/>
    <w:multiLevelType w:val="multilevel"/>
    <w:tmpl w:val="DF21FF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97AB4BD"/>
    <w:multiLevelType w:val="multilevel"/>
    <w:tmpl w:val="F97AB4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342E5C7"/>
    <w:multiLevelType w:val="multilevel"/>
    <w:tmpl w:val="1342E5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AAEAF3D"/>
    <w:multiLevelType w:val="multilevel"/>
    <w:tmpl w:val="7AAEAF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9C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2026-04-29T14:07:41Z</dcterms:created>
  <cp:lastModifiedBy>A0-6</cp:lastModifiedBy>
  <dcterms:modified xsi:type="dcterms:W3CDTF">2026-04-29T14:08:14Z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D655D40538CC4D76A09DD11CA821D7D9_12</vt:lpwstr>
  </property>
</Properties>
</file>