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EEA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1"/>
          <w:szCs w:val="21"/>
        </w:rPr>
      </w:pPr>
      <w:bookmarkStart w:id="0" w:name="_GoBack"/>
      <w:r>
        <w:rPr>
          <w:color w:val="1F2329"/>
          <w:sz w:val="21"/>
          <w:szCs w:val="21"/>
          <w:bdr w:val="none" w:color="auto" w:sz="0" w:space="0"/>
        </w:rPr>
        <w:t>王宁《南京国企改制的实践与探索》</w:t>
      </w:r>
      <w:bookmarkEnd w:id="0"/>
      <w:r>
        <w:rPr>
          <w:color w:val="1F2329"/>
          <w:sz w:val="21"/>
          <w:szCs w:val="21"/>
          <w:bdr w:val="none" w:color="auto" w:sz="0" w:space="0"/>
        </w:rPr>
        <w:t>（《江苏社会科学》2010 年第 3 期，第 123-128 页）</w:t>
      </w:r>
    </w:p>
    <w:p w14:paraId="6940C1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摘要</w:t>
      </w:r>
    </w:p>
    <w:p w14:paraId="3295E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南京作为国有经济重镇，国企改制历经 “放权让利 — 产权改革 — 战略重组” 三阶段，形成 “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政府主导、分类推进、职工参与、市场运作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” 的特色路径。本文基于 2000—2009 年南京国企改制实践，剖析改制模式、成效与困境，提出深化改革的对策建议，为同类城市提供借鉴。</w:t>
      </w:r>
    </w:p>
    <w:p w14:paraId="40280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关键词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：南京国企；改制实践；产权改革；混合所有制</w:t>
      </w:r>
    </w:p>
    <w:p w14:paraId="0CB9DC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一、南京国企改制的背景与阶段</w:t>
      </w:r>
    </w:p>
    <w:p w14:paraId="29AA99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（一）改制背景</w:t>
      </w:r>
    </w:p>
    <w:p w14:paraId="0802F5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计划经济时期，南京形成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电子、石化、汽车、机械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四大国有支柱产业，国企数量多、资产规模大、历史包袱重。1990 年代末，国企普遍存在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产权单一、机制僵化、效率低下、负债率高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等问题，亟需通过改制激活活力。2000 年，南京市委市政府提出 “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彻底改、改彻底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” 的总体要求，全面启动国企改制攻坚战。</w:t>
      </w:r>
    </w:p>
    <w:p w14:paraId="0273D9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（二）改制三阶段</w:t>
      </w:r>
    </w:p>
    <w:p w14:paraId="11E72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起步阶段（2000—2002 年）：以产权制度改革为核心</w:t>
      </w:r>
    </w:p>
    <w:p w14:paraId="768AB1B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核心任务：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国有资本退出中小企业、搞活大型企业</w:t>
      </w:r>
    </w:p>
    <w:p w14:paraId="7766860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主要模式：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股、合、嫁、卖、租、包、兼、转</w:t>
      </w:r>
      <w:r>
        <w:rPr>
          <w:color w:val="1F2329"/>
          <w:sz w:val="16"/>
          <w:szCs w:val="16"/>
          <w:bdr w:val="none" w:color="auto" w:sz="0" w:space="0"/>
        </w:rPr>
        <w:t>八种形式</w:t>
      </w:r>
      <w:r>
        <w:rPr>
          <w:color w:val="1F2329"/>
          <w:sz w:val="9"/>
          <w:szCs w:val="9"/>
          <w:bdr w:val="none" w:color="auto" w:sz="0" w:space="0"/>
        </w:rPr>
        <w:t>江苏省人民政府</w:t>
      </w:r>
    </w:p>
    <w:p w14:paraId="5C50045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典型案例：南京新百、南京中商等商贸企业改制，引入民营资本（金鹰、雨润）参与重组</w:t>
      </w:r>
    </w:p>
    <w:p w14:paraId="08B26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深化阶段（2003—2006 年）：大型国企整体改制与混合所有制</w:t>
      </w:r>
    </w:p>
    <w:p w14:paraId="4A9D11E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核心任务：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大型国企产权多元化、建立现代企业制度</w:t>
      </w:r>
    </w:p>
    <w:p w14:paraId="25D08E2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主要模式：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管理层持股、外资并购、整体上市、债转股</w:t>
      </w:r>
    </w:p>
    <w:p w14:paraId="42AC23B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典型案例：南钢集团（国有 49%+ 管理层 51%）、南汽轮（国有 + 外资 + 职工股）整体改制</w:t>
      </w:r>
    </w:p>
    <w:p w14:paraId="5CA20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完善阶段（2007—2009 年）：战略重组与国资监管创新</w:t>
      </w:r>
    </w:p>
    <w:p w14:paraId="626B67D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核心任务：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国有资本向优势产业集中、做强做大主业</w:t>
      </w:r>
    </w:p>
    <w:p w14:paraId="21DD143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主要模式：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集团整合、主业上市、辅业剥离、劣势企业退出</w:t>
      </w:r>
    </w:p>
    <w:p w14:paraId="6019E81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典型案例：成立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南京新工集团、旅游集团、交通集团</w:t>
      </w:r>
      <w:r>
        <w:rPr>
          <w:color w:val="1F2329"/>
          <w:sz w:val="16"/>
          <w:szCs w:val="16"/>
          <w:bdr w:val="none" w:color="auto" w:sz="0" w:space="0"/>
        </w:rPr>
        <w:t>等八大产业集团，优化国资布局</w:t>
      </w:r>
      <w:r>
        <w:rPr>
          <w:color w:val="1F2329"/>
          <w:sz w:val="9"/>
          <w:szCs w:val="9"/>
          <w:bdr w:val="none" w:color="auto" w:sz="0" w:space="0"/>
        </w:rPr>
        <w:t>江苏省国资委</w:t>
      </w:r>
    </w:p>
    <w:p w14:paraId="16DCE7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二、南京国企改制的主要模式与做法</w:t>
      </w:r>
    </w:p>
    <w:p w14:paraId="135381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（一）分类改制：因企施策、一企一策</w:t>
      </w:r>
    </w:p>
    <w:p w14:paraId="51ADF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竞争类企业（商贸、轻工、电子）：彻底民营化</w:t>
      </w:r>
    </w:p>
    <w:p w14:paraId="6ACBE8C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原则：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国有资本完全退出，职工身份置换，企业民营化</w:t>
      </w:r>
    </w:p>
    <w:p w14:paraId="079107D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案例：南京针织厂、南京灯泡厂等中小企业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整体出售、职工持股</w:t>
      </w:r>
    </w:p>
    <w:p w14:paraId="15819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支柱类企业（石化、汽车、机械）：国有控股 + 多元参股</w:t>
      </w:r>
    </w:p>
    <w:p w14:paraId="28F39D7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原则：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国有资本控股（51% 以上），引入战略投资者、管理层和职工参股</w:t>
      </w:r>
    </w:p>
    <w:p w14:paraId="7079678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案例：南京菲亚特、扬子石化 — 巴斯夫等合资企业，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国有控股、外资参股、市场化运营</w:t>
      </w:r>
    </w:p>
    <w:p w14:paraId="2B7B6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公益类企业（城建、公交、水务）：国有独资或控股、特许经营</w:t>
      </w:r>
    </w:p>
    <w:p w14:paraId="6F527A4B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原则：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国有资本绝对控股，政府监管、市场化服务</w:t>
      </w:r>
    </w:p>
    <w:p w14:paraId="6BB93B0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案例：南京城建集团、南京公交集团，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国有独资、政府补贴、特许经营</w:t>
      </w:r>
    </w:p>
    <w:p w14:paraId="0FF51F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（二）产权改革：核心是 “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国退民进、产权清晰</w:t>
      </w:r>
      <w:r>
        <w:rPr>
          <w:color w:val="1F2329"/>
          <w:sz w:val="16"/>
          <w:szCs w:val="16"/>
          <w:bdr w:val="none" w:color="auto" w:sz="0" w:space="0"/>
        </w:rPr>
        <w:t>”</w:t>
      </w:r>
    </w:p>
    <w:p w14:paraId="0328F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国有资产处置：规范评估、进场交易</w:t>
      </w:r>
    </w:p>
    <w:p w14:paraId="152ACDB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严格执行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资产评估、产权界定、挂牌交易、公开竞价</w:t>
      </w:r>
      <w:r>
        <w:rPr>
          <w:color w:val="1F2329"/>
          <w:sz w:val="16"/>
          <w:szCs w:val="16"/>
          <w:bdr w:val="none" w:color="auto" w:sz="0" w:space="0"/>
        </w:rPr>
        <w:t>程序，防止国有资产流失</w:t>
      </w:r>
    </w:p>
    <w:p w14:paraId="1BBCDAF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2000—2009 年，南京国企改制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评估资产总额 1200 亿元，成交率 98%，溢价率 15%</w:t>
      </w:r>
    </w:p>
    <w:p w14:paraId="5B23D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职工身份置换：补偿到位、保障就业</w:t>
      </w:r>
    </w:p>
    <w:p w14:paraId="716ECD9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实行 **“工龄买断 + 经济补偿 + 社保接续”** 政策，2000—2009 年，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安置职工 35 万人，支付补偿金 120 亿元，再就业率 92%</w:t>
      </w:r>
    </w:p>
    <w:p w14:paraId="36B62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股权设置：管理层持股 + 职工持股 + 战略投资者</w:t>
      </w:r>
    </w:p>
    <w:p w14:paraId="17D27FE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管理层持股：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中层以上骨干出资入股，持股比例 5%—30%</w:t>
      </w:r>
    </w:p>
    <w:p w14:paraId="75F40BD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职工持股：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普通职工自愿入股，人均持股 1—5 万元</w:t>
      </w:r>
    </w:p>
    <w:p w14:paraId="33856058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战略投资者：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引入民营、外资企业，持股比例 20%—49%</w:t>
      </w:r>
    </w:p>
    <w:p w14:paraId="382BA1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（三）治理创新：建立现代企业制度</w:t>
      </w:r>
    </w:p>
    <w:p w14:paraId="215B6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完善法人治理结构</w:t>
      </w:r>
    </w:p>
    <w:p w14:paraId="31AEAF6C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改制企业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全部建立股东会、董事会、监事会、经理层</w:t>
      </w:r>
      <w:r>
        <w:rPr>
          <w:color w:val="1F2329"/>
          <w:sz w:val="16"/>
          <w:szCs w:val="16"/>
          <w:bdr w:val="none" w:color="auto" w:sz="0" w:space="0"/>
        </w:rPr>
        <w:t>，实现 “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三会一层</w:t>
      </w:r>
      <w:r>
        <w:rPr>
          <w:color w:val="1F2329"/>
          <w:sz w:val="16"/>
          <w:szCs w:val="16"/>
          <w:bdr w:val="none" w:color="auto" w:sz="0" w:space="0"/>
        </w:rPr>
        <w:t>” 制衡</w:t>
      </w:r>
    </w:p>
    <w:p w14:paraId="0207C9E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推行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外部董事制度</w:t>
      </w:r>
      <w:r>
        <w:rPr>
          <w:color w:val="1F2329"/>
          <w:sz w:val="16"/>
          <w:szCs w:val="16"/>
          <w:bdr w:val="none" w:color="auto" w:sz="0" w:space="0"/>
        </w:rPr>
        <w:t>，大型国企董事会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外部董事占多数（50% 以上）</w:t>
      </w:r>
      <w:r>
        <w:rPr>
          <w:color w:val="1F2329"/>
          <w:sz w:val="9"/>
          <w:szCs w:val="9"/>
          <w:bdr w:val="none" w:color="auto" w:sz="0" w:space="0"/>
        </w:rPr>
        <w:t>江苏省国资委</w:t>
      </w:r>
    </w:p>
    <w:p w14:paraId="79B02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转换经营机制</w:t>
      </w:r>
    </w:p>
    <w:p w14:paraId="2586AEB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人事：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打破铁饭碗，全员竞聘上岗，能上能下</w:t>
      </w:r>
    </w:p>
    <w:p w14:paraId="6EE1E97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用工：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全员劳动合同制，能进能出</w:t>
      </w:r>
    </w:p>
    <w:p w14:paraId="3C79CCE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分配：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工资与效益挂钩，绩效薪酬为主，能高能低</w:t>
      </w:r>
    </w:p>
    <w:p w14:paraId="020F82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三、南京国企改制的成效</w:t>
      </w:r>
    </w:p>
    <w:p w14:paraId="40C9EC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（一）经济效率显著提升</w:t>
      </w:r>
    </w:p>
    <w:p w14:paraId="5DC170A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2000—2009 年，南京国企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数量从 1200 家减至 350 家，资产总额从 800 亿元增至 2500 亿元，年利润从 20 亿元增至 120 亿元，年均增长 25%</w:t>
      </w:r>
    </w:p>
    <w:p w14:paraId="7CB5DFE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四大支柱产业（电子、石化、汽车、机械）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产值占工业总产值 75%，高新技术产业产值占比从 15% 升至 40%</w:t>
      </w:r>
    </w:p>
    <w:p w14:paraId="600957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（二）国有资本布局优化</w:t>
      </w:r>
    </w:p>
    <w:p w14:paraId="1BC4333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国有资本从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15 个竞争行业退出，集中到先进制造业、现代服务业、城市基础设施三大领域</w:t>
      </w:r>
    </w:p>
    <w:p w14:paraId="281FD51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形成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新工集团、旅游集团、交通集团、城建集团</w:t>
      </w:r>
      <w:r>
        <w:rPr>
          <w:color w:val="1F2329"/>
          <w:sz w:val="16"/>
          <w:szCs w:val="16"/>
          <w:bdr w:val="none" w:color="auto" w:sz="0" w:space="0"/>
        </w:rPr>
        <w:t>等八大百亿级国企集团，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资产总额占市属国企 80%</w:t>
      </w:r>
    </w:p>
    <w:p w14:paraId="67AE2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（三）职工权益得到保障</w:t>
      </w:r>
    </w:p>
    <w:p w14:paraId="0B0ACEA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改制企业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职工再就业率 92%，社保覆盖率 100%，人均工资年均增长 12%</w:t>
      </w:r>
    </w:p>
    <w:p w14:paraId="261100F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建立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职工持股会</w:t>
      </w:r>
      <w:r>
        <w:rPr>
          <w:color w:val="1F2329"/>
          <w:sz w:val="16"/>
          <w:szCs w:val="16"/>
          <w:bdr w:val="none" w:color="auto" w:sz="0" w:space="0"/>
        </w:rPr>
        <w:t>，职工通过持股分享改革红利，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人均持股收益年均 8%</w:t>
      </w:r>
    </w:p>
    <w:p w14:paraId="2A5662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四、南京国企改制的困境与问题</w:t>
      </w:r>
    </w:p>
    <w:p w14:paraId="6C4D6B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（一）产权改革不彻底</w:t>
      </w:r>
    </w:p>
    <w:p w14:paraId="4057FAF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部分大型国企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国有股一股独大（70% 以上）</w:t>
      </w:r>
      <w:r>
        <w:rPr>
          <w:color w:val="1F2329"/>
          <w:sz w:val="16"/>
          <w:szCs w:val="16"/>
          <w:bdr w:val="none" w:color="auto" w:sz="0" w:space="0"/>
        </w:rPr>
        <w:t>，股权多元化流于形式，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行政干预依然存在，市场化机制未完全建立</w:t>
      </w:r>
    </w:p>
    <w:p w14:paraId="41B2032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少数企业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改制不规范，存在暗箱操作、低估资产、侵占国有资产</w:t>
      </w:r>
      <w:r>
        <w:rPr>
          <w:color w:val="1F2329"/>
          <w:sz w:val="16"/>
          <w:szCs w:val="16"/>
          <w:bdr w:val="none" w:color="auto" w:sz="0" w:space="0"/>
        </w:rPr>
        <w:t>等问题</w:t>
      </w:r>
    </w:p>
    <w:p w14:paraId="6B0294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（二）职工权益保障仍有短板</w:t>
      </w:r>
    </w:p>
    <w:p w14:paraId="6922D6D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部分困难企业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改制资金不足，职工补偿金拖欠、社保断缴</w:t>
      </w:r>
    </w:p>
    <w:p w14:paraId="302FD97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职工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持股比例低、话语权弱</w:t>
      </w:r>
      <w:r>
        <w:rPr>
          <w:color w:val="1F2329"/>
          <w:sz w:val="16"/>
          <w:szCs w:val="16"/>
          <w:bdr w:val="none" w:color="auto" w:sz="0" w:space="0"/>
        </w:rPr>
        <w:t>，在企业重大决策中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参与度不高</w:t>
      </w:r>
    </w:p>
    <w:p w14:paraId="612AF2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（三）现代企业制度 “形似神不似”</w:t>
      </w:r>
    </w:p>
    <w:p w14:paraId="1EE8966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部分改制企业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法人治理结构不完善，董事会、监事会形同虚设，“新三会” 与 “老三会”（党委会、职代会、工会）关系不顺</w:t>
      </w:r>
    </w:p>
    <w:p w14:paraId="6C6D991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市场化经营机制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执行不到位，“能上不能下、能进不能出、能高不能低” 问题依然存在</w:t>
      </w:r>
    </w:p>
    <w:p w14:paraId="28838E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（四）历史包袱尚未完全化解</w:t>
      </w:r>
    </w:p>
    <w:p w14:paraId="3DFF3B8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部分老国企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债务负担重、不良资产多、离退休人员多</w:t>
      </w:r>
      <w:r>
        <w:rPr>
          <w:color w:val="1F2329"/>
          <w:sz w:val="16"/>
          <w:szCs w:val="16"/>
          <w:bdr w:val="none" w:color="auto" w:sz="0" w:space="0"/>
        </w:rPr>
        <w:t>，改制后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经营压力大、发展后劲不足</w:t>
      </w:r>
    </w:p>
    <w:p w14:paraId="3B3C50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五、深化南京国企改制的对策建议</w:t>
      </w:r>
    </w:p>
    <w:p w14:paraId="5C8DBB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（一）推进产权多元化，发展混合所有制经济</w:t>
      </w:r>
    </w:p>
    <w:p w14:paraId="7CD87CF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对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竞争类企业</w:t>
      </w:r>
      <w:r>
        <w:rPr>
          <w:color w:val="1F2329"/>
          <w:sz w:val="16"/>
          <w:szCs w:val="16"/>
          <w:bdr w:val="none" w:color="auto" w:sz="0" w:space="0"/>
        </w:rPr>
        <w:t>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国有资本全部退出或持股不超过 30%</w:t>
      </w:r>
      <w:r>
        <w:rPr>
          <w:color w:val="1F2329"/>
          <w:sz w:val="16"/>
          <w:szCs w:val="16"/>
          <w:bdr w:val="none" w:color="auto" w:sz="0" w:space="0"/>
        </w:rPr>
        <w:t>，引入民营、外资、管理层和职工持股，实现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股权多元化、民营化</w:t>
      </w:r>
    </w:p>
    <w:p w14:paraId="614D2A0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对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支柱类企业</w:t>
      </w:r>
      <w:r>
        <w:rPr>
          <w:color w:val="1F2329"/>
          <w:sz w:val="16"/>
          <w:szCs w:val="16"/>
          <w:bdr w:val="none" w:color="auto" w:sz="0" w:space="0"/>
        </w:rPr>
        <w:t>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国有资本持股 51% 以下</w:t>
      </w:r>
      <w:r>
        <w:rPr>
          <w:color w:val="1F2329"/>
          <w:sz w:val="16"/>
          <w:szCs w:val="16"/>
          <w:bdr w:val="none" w:color="auto" w:sz="0" w:space="0"/>
        </w:rPr>
        <w:t>，引入战略投资者，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降低国有股比例，提高市场化程度</w:t>
      </w:r>
    </w:p>
    <w:p w14:paraId="638C3EA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对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公益类企业</w:t>
      </w:r>
      <w:r>
        <w:rPr>
          <w:color w:val="1F2329"/>
          <w:sz w:val="16"/>
          <w:szCs w:val="16"/>
          <w:bdr w:val="none" w:color="auto" w:sz="0" w:space="0"/>
        </w:rPr>
        <w:t>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国有资本控股（51% 以上）</w:t>
      </w:r>
      <w:r>
        <w:rPr>
          <w:color w:val="1F2329"/>
          <w:sz w:val="16"/>
          <w:szCs w:val="16"/>
          <w:bdr w:val="none" w:color="auto" w:sz="0" w:space="0"/>
        </w:rPr>
        <w:t>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鼓励社会资本参股，推行特许经营、PPP 模式</w:t>
      </w:r>
    </w:p>
    <w:p w14:paraId="14C92A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（二）完善职工权益保障机制</w:t>
      </w:r>
    </w:p>
    <w:p w14:paraId="52FAE10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建立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改制资金保障制度</w:t>
      </w:r>
      <w:r>
        <w:rPr>
          <w:color w:val="1F2329"/>
          <w:sz w:val="16"/>
          <w:szCs w:val="16"/>
          <w:bdr w:val="none" w:color="auto" w:sz="0" w:space="0"/>
        </w:rPr>
        <w:t>，确保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职工补偿金足额发放、社保及时接续</w:t>
      </w:r>
    </w:p>
    <w:p w14:paraId="7E00989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提高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职工持股比例（不低于 20%）</w:t>
      </w:r>
      <w:r>
        <w:rPr>
          <w:color w:val="1F2329"/>
          <w:sz w:val="16"/>
          <w:szCs w:val="16"/>
          <w:bdr w:val="none" w:color="auto" w:sz="0" w:space="0"/>
        </w:rPr>
        <w:t>，完善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职工持股会治理结构</w:t>
      </w:r>
      <w:r>
        <w:rPr>
          <w:color w:val="1F2329"/>
          <w:sz w:val="16"/>
          <w:szCs w:val="16"/>
          <w:bdr w:val="none" w:color="auto" w:sz="0" w:space="0"/>
        </w:rPr>
        <w:t>，保障职工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知情权、参与权、监督权、收益权</w:t>
      </w:r>
    </w:p>
    <w:p w14:paraId="719CBD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（三）健全现代企业制度，提升治理效能</w:t>
      </w:r>
    </w:p>
    <w:p w14:paraId="3B99D58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厘清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党委会、股东会、董事会、监事会、经理层</w:t>
      </w:r>
      <w:r>
        <w:rPr>
          <w:color w:val="1F2329"/>
          <w:sz w:val="16"/>
          <w:szCs w:val="16"/>
          <w:bdr w:val="none" w:color="auto" w:sz="0" w:space="0"/>
        </w:rPr>
        <w:t>权责边界，建立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各司其职、协调运转、有效制衡</w:t>
      </w:r>
      <w:r>
        <w:rPr>
          <w:color w:val="1F2329"/>
          <w:sz w:val="16"/>
          <w:szCs w:val="16"/>
          <w:bdr w:val="none" w:color="auto" w:sz="0" w:space="0"/>
        </w:rPr>
        <w:t>的治理体系</w:t>
      </w:r>
      <w:r>
        <w:rPr>
          <w:color w:val="1F2329"/>
          <w:sz w:val="9"/>
          <w:szCs w:val="9"/>
          <w:bdr w:val="none" w:color="auto" w:sz="0" w:space="0"/>
        </w:rPr>
        <w:t>江苏省国资委</w:t>
      </w:r>
    </w:p>
    <w:p w14:paraId="22848A1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深化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三项制度改革</w:t>
      </w:r>
      <w:r>
        <w:rPr>
          <w:color w:val="1F2329"/>
          <w:sz w:val="16"/>
          <w:szCs w:val="16"/>
          <w:bdr w:val="none" w:color="auto" w:sz="0" w:space="0"/>
        </w:rPr>
        <w:t>，全面推行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全员竞聘、绩效薪酬、契约化管理</w:t>
      </w:r>
      <w:r>
        <w:rPr>
          <w:color w:val="1F2329"/>
          <w:sz w:val="16"/>
          <w:szCs w:val="16"/>
          <w:bdr w:val="none" w:color="auto" w:sz="0" w:space="0"/>
        </w:rPr>
        <w:t>，真正实现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能上能下、能进能出、能高能低</w:t>
      </w:r>
    </w:p>
    <w:p w14:paraId="7F686E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（四）化解历史包袱，支持国企转型发展</w:t>
      </w:r>
    </w:p>
    <w:p w14:paraId="45CED35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加大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财政支持力度</w:t>
      </w:r>
      <w:r>
        <w:rPr>
          <w:color w:val="1F2329"/>
          <w:sz w:val="16"/>
          <w:szCs w:val="16"/>
          <w:bdr w:val="none" w:color="auto" w:sz="0" w:space="0"/>
        </w:rPr>
        <w:t>，设立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国企改革专项资金</w:t>
      </w:r>
      <w:r>
        <w:rPr>
          <w:color w:val="1F2329"/>
          <w:sz w:val="16"/>
          <w:szCs w:val="16"/>
          <w:bdr w:val="none" w:color="auto" w:sz="0" w:space="0"/>
        </w:rPr>
        <w:t>，用于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债务处置、不良资产剥离、离退休人员社会化管理</w:t>
      </w:r>
    </w:p>
    <w:p w14:paraId="256C7CB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推动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国企主辅分离、辅业改制</w:t>
      </w:r>
      <w:r>
        <w:rPr>
          <w:color w:val="1F2329"/>
          <w:sz w:val="16"/>
          <w:szCs w:val="16"/>
          <w:bdr w:val="none" w:color="auto" w:sz="0" w:space="0"/>
        </w:rPr>
        <w:t>，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剥离非核心业务，聚焦主业发展</w:t>
      </w:r>
      <w:r>
        <w:rPr>
          <w:color w:val="1F2329"/>
          <w:sz w:val="16"/>
          <w:szCs w:val="16"/>
          <w:bdr w:val="none" w:color="auto" w:sz="0" w:space="0"/>
        </w:rPr>
        <w:t>，提升核心竞争力</w:t>
      </w:r>
    </w:p>
    <w:p w14:paraId="7136C1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六、结论</w:t>
      </w:r>
    </w:p>
    <w:p w14:paraId="77519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南京国企改制是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中国地方国企改革的成功范例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，通过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产权改革、分类推进、职工参与、市场运作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，实现了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国有资产保值增值、企业活力增强、职工权益保障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的多赢局面。但改制仍存在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产权不彻底、治理不完善、权益保障不足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等问题，需进一步深化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混合所有制改革、完善现代企业制度、健全职工权益保障机制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，推动南京国企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做强做优做大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，为南京经济社会发展提供有力支撑。</w:t>
      </w:r>
    </w:p>
    <w:p w14:paraId="293DDA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8952E"/>
    <w:multiLevelType w:val="multilevel"/>
    <w:tmpl w:val="99E89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35A82F0"/>
    <w:multiLevelType w:val="multilevel"/>
    <w:tmpl w:val="D35A8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69C1E1"/>
    <w:multiLevelType w:val="multilevel"/>
    <w:tmpl w:val="E769C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6A83DFA"/>
    <w:multiLevelType w:val="multilevel"/>
    <w:tmpl w:val="F6A83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69CC3E"/>
    <w:multiLevelType w:val="multilevel"/>
    <w:tmpl w:val="F769C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0CCB4F7"/>
    <w:multiLevelType w:val="multilevel"/>
    <w:tmpl w:val="10CCB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BB6A702"/>
    <w:multiLevelType w:val="multilevel"/>
    <w:tmpl w:val="2BB6A7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419C559"/>
    <w:multiLevelType w:val="multilevel"/>
    <w:tmpl w:val="4419C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727150F"/>
    <w:multiLevelType w:val="multilevel"/>
    <w:tmpl w:val="57271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B4862DC"/>
    <w:multiLevelType w:val="multilevel"/>
    <w:tmpl w:val="5B4862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82368C3"/>
    <w:multiLevelType w:val="multilevel"/>
    <w:tmpl w:val="68236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BED535B"/>
    <w:multiLevelType w:val="multilevel"/>
    <w:tmpl w:val="7BED5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0"/>
  </w:num>
  <w:num w:numId="14">
    <w:abstractNumId w:val="9"/>
  </w:num>
  <w:num w:numId="15">
    <w:abstractNumId w:val="1"/>
  </w:num>
  <w:num w:numId="16">
    <w:abstractNumId w:val="8"/>
  </w:num>
  <w:num w:numId="17">
    <w:abstractNumId w:val="4"/>
  </w:num>
  <w:num w:numId="18">
    <w:abstractNumId w:val="5"/>
  </w:num>
  <w:num w:numId="19">
    <w:abstractNumId w:val="2"/>
  </w:num>
  <w:num w:numId="20">
    <w:abstractNumId w:val="11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77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2026-04-29T14:10:41Z</dcterms:created>
  <cp:lastModifiedBy>A0-6</cp:lastModifiedBy>
  <dcterms:modified xsi:type="dcterms:W3CDTF">2026-04-29T14:12:34Z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2343BEAAC9844CCD80D6D5A782473097_12</vt:lpwstr>
  </property>
</Properties>
</file>