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B58BE6">
      <w:pPr>
        <w:keepNext w:val="0"/>
        <w:keepLines w:val="0"/>
        <w:widowControl/>
        <w:suppressLineNumbers w:val="0"/>
        <w:spacing w:after="120" w:line="360" w:lineRule="auto"/>
        <w:jc w:val="center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南京民族工业发展阶段总表</w:t>
      </w:r>
    </w:p>
    <w:tbl>
      <w:tblPr>
        <w:tblStyle w:val="2"/>
        <w:tblW w:w="1051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0"/>
        <w:gridCol w:w="1389"/>
        <w:gridCol w:w="2725"/>
        <w:gridCol w:w="2292"/>
        <w:gridCol w:w="2556"/>
      </w:tblGrid>
      <w:tr w14:paraId="654520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5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577F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kern w:val="0"/>
                <w:sz w:val="20"/>
                <w:szCs w:val="20"/>
                <w:lang w:val="en-US" w:eastAsia="zh-CN" w:bidi="ar"/>
              </w:rPr>
              <w:t>发展阶段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F4DF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kern w:val="0"/>
                <w:sz w:val="20"/>
                <w:szCs w:val="20"/>
                <w:lang w:val="en-US" w:eastAsia="zh-CN" w:bidi="ar"/>
              </w:rPr>
              <w:t>兴衰时间线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733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kern w:val="0"/>
                <w:sz w:val="20"/>
                <w:szCs w:val="20"/>
                <w:lang w:val="en-US" w:eastAsia="zh-CN" w:bidi="ar"/>
              </w:rPr>
              <w:t>时代背景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FAF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kern w:val="0"/>
                <w:sz w:val="20"/>
                <w:szCs w:val="20"/>
                <w:lang w:val="en-US" w:eastAsia="zh-CN" w:bidi="ar"/>
              </w:rPr>
              <w:t>政策背景</w:t>
            </w:r>
          </w:p>
        </w:tc>
        <w:tc>
          <w:tcPr>
            <w:tcW w:w="255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211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kern w:val="0"/>
                <w:sz w:val="20"/>
                <w:szCs w:val="20"/>
                <w:lang w:val="en-US" w:eastAsia="zh-CN" w:bidi="ar"/>
              </w:rPr>
              <w:t>发展举例</w:t>
            </w:r>
          </w:p>
        </w:tc>
      </w:tr>
      <w:tr w14:paraId="25E592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C3CE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一、萌芽奠基期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A1E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1865—1895</w:t>
            </w:r>
          </w:p>
          <w:p w14:paraId="05E7BB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起步、缓慢积累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6EC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晚清内忧外患；洋务运动兴起；南京为两江总督驻地、东南军事重镇；传统手工业开始向机器工业过渡。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6C93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清政府推行洋务新政，官办为主、商办为辅；设总理各国事务衙门；重点扶持军工，限制民间重型机器工业。</w:t>
            </w:r>
          </w:p>
        </w:tc>
        <w:tc>
          <w:tcPr>
            <w:tcW w:w="255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667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1865年李鸿章创办金陵机器制造局（南京近代工业开端）；沿江出现小型船舶修造作坊；云锦、粮油加工等传统手工业引入简易机械转型。</w:t>
            </w:r>
          </w:p>
        </w:tc>
      </w:tr>
      <w:tr w14:paraId="67CC4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9FC3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二、民营起步期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D53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1895—1927</w:t>
            </w:r>
          </w:p>
          <w:p w14:paraId="6F93D6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官办收缩、民营多点开花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3176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甲午战败，《马关条约》签订，民族危机加深；实业救国思潮高涨；清末新政、民国初建，社会相对稳定；一战期间列强放松对华侵略。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DA5F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清政府放宽设厂限制；1898年《振兴工艺给奖章程》、1903年设商部、《奖励公司章程》；民国临时政府《商业注册章程》《奖励实业章程》，鼓励民营。</w:t>
            </w:r>
          </w:p>
        </w:tc>
        <w:tc>
          <w:tcPr>
            <w:tcW w:w="255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B3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1901年白敬宇制药创办；1894年胜昌机器厂、1912年南京面粉厂相继成立；1908年浦镇机厂创办（华东轨道交通工业源头）；宏业砖瓦厂等建材企业兴起。</w:t>
            </w:r>
          </w:p>
        </w:tc>
      </w:tr>
      <w:tr w14:paraId="217B6A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70C5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三、黄金鼎盛期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DBF9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1927—1937</w:t>
            </w:r>
          </w:p>
          <w:p w14:paraId="2EBADD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首都集群成型、全域鼎盛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A52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国民政府定都南京，政治中心确立；“黄金十年”经济增长；首都建设、人口激增，市场需求旺盛；永利铔厂、江南水泥厂等大型企业创办。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547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国民政府推进国民经济建设运动；出台《特种工业奖励法》《工厂法》《矿业条例》；统筹首都工业布局，形成“江北化工、城南机械、东郊建材、主城轻工”格局。</w:t>
            </w:r>
          </w:p>
        </w:tc>
        <w:tc>
          <w:tcPr>
            <w:tcW w:w="255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5D6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1931年永利铔厂（江北化工核心）创办，侯德榜发明“侯氏制碱法”；1935年江南水泥厂创办；中央电工器材厂、中央无线电器材厂建成；1937年江南汽车公司成立。</w:t>
            </w:r>
          </w:p>
        </w:tc>
      </w:tr>
      <w:tr w14:paraId="700A94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904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四、战争重创期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0077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1937—1945</w:t>
            </w:r>
          </w:p>
          <w:p w14:paraId="33800A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沦陷浩劫、骨干西迁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6E71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全面抗战爆发，南京沦陷；日军轰炸、劫掠、军管工业；骨干企业西迁西南；民营企业大量倒闭，工业体系断裂。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0FBA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国民政府颁布《工厂迁移协助办法》，组织工业西迁；日伪实施“军管理”，强制征用、掠夺工业资源，禁止民营。</w:t>
            </w:r>
          </w:p>
        </w:tc>
        <w:tc>
          <w:tcPr>
            <w:tcW w:w="255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F19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永利铔厂西迁四川五通桥重建为永利川厂；金陵机器制造局西迁重庆、昆明；江南水泥厂留守护厂，设立难民营保护设备；大量中小民营企业倒闭。</w:t>
            </w:r>
          </w:p>
        </w:tc>
      </w:tr>
      <w:tr w14:paraId="0417F0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BCB6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五、战后改造期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27F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1945—1978</w:t>
            </w:r>
          </w:p>
          <w:p w14:paraId="17F863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国营化重构、工业体系定型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476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抗战胜利后短暂复苏；内战爆发，经济萧条；新中国成立，计划经济体制确立；“一五”“二五”重点投资南京，工业门类完善。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B93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战后接收日伪资产、整顿复苏；新中国没收官僚资本、公私合营；“一五”“二五”计划重点发展化工、机械、电子，建立国营主导工业体系。</w:t>
            </w:r>
          </w:p>
        </w:tc>
        <w:tc>
          <w:tcPr>
            <w:tcW w:w="255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7BA5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永利铔厂回迁后公私合营为永利宁厂，1960年建成国内首个尿素车间；江南水泥厂、白敬宇制药完成公私合营；熊猫电子、晨光机械、中车浦镇转型为国营骨干企业。</w:t>
            </w:r>
          </w:p>
        </w:tc>
      </w:tr>
      <w:tr w14:paraId="79B98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21D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六、转型迭代期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7F9D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1978—2012</w:t>
            </w:r>
          </w:p>
          <w:p w14:paraId="78A008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市场化改制、支柱产业成型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D6D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改革开放，市场经济活力释放；长三角工业化、城市化加速；老工业基地面临升级压力；汽车、石化、电子信息成为支柱。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1D8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推行国企改制、股份制改造；鼓励民营、外资进入；产业升级政策，淘汰落后产能，培育新兴产业；外向型经济政策，吸引外资。</w:t>
            </w:r>
          </w:p>
        </w:tc>
        <w:tc>
          <w:tcPr>
            <w:tcW w:w="255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2F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南汽与菲亚特、依维柯合作发展汽车产业；南化公司、扬子石化升级发展精细化工；熊猫电子转型通信、消费电子领域；民营工业企业快速崛起，形成多元发展格局。</w:t>
            </w:r>
          </w:p>
        </w:tc>
      </w:tr>
      <w:tr w14:paraId="7C91C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5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F294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七、遗产活化期</w:t>
            </w:r>
          </w:p>
        </w:tc>
        <w:tc>
          <w:tcPr>
            <w:tcW w:w="138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5E17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2012—至今</w:t>
            </w:r>
          </w:p>
          <w:p w14:paraId="048757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锈带重生、工业文化赋能</w:t>
            </w:r>
          </w:p>
        </w:tc>
        <w:tc>
          <w:tcPr>
            <w:tcW w:w="272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21B7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高质量发展、城市更新推进；工业遗产成为城市文化名片；老厂房改造文创、科创、文旅空间；工业文化传承受重视。</w:t>
            </w:r>
          </w:p>
        </w:tc>
        <w:tc>
          <w:tcPr>
            <w:tcW w:w="229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8C44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国家《国家工业遗产管理办法》；地方《南京市工业遗产保护条例》《江苏省工业遗产保护与活化利用规划》；纳入城市更新与产业升级政策。</w:t>
            </w:r>
          </w:p>
        </w:tc>
        <w:tc>
          <w:tcPr>
            <w:tcW w:w="255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3559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南京第二机床厂改造为国创园；永利铔厂老厂区改造为1934文化产业园；江南水泥厂改造为南京创新周永久会址、抗战纪念馆；举办“向新而生”工业遗产专题展。</w:t>
            </w:r>
          </w:p>
        </w:tc>
      </w:tr>
    </w:tbl>
    <w:p w14:paraId="2B875F5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965FD5"/>
    <w:rsid w:val="5D446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1454</Words>
  <Characters>1529</Characters>
  <Lines>0</Lines>
  <Paragraphs>0</Paragraphs>
  <TotalTime>2</TotalTime>
  <ScaleCrop>false</ScaleCrop>
  <LinksUpToDate>false</LinksUpToDate>
  <CharactersWithSpaces>1529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2026-04-29T01:03:00Z</dcterms:created>
  <dc:creator>22921</dc:creator>
  <cp:lastModifiedBy>A0-6</cp:lastModifiedBy>
  <dcterms:modified xsi:type="dcterms:W3CDTF">2026-04-29T01:27:11Z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KSOTemplateDocerSaveRecord">
    <vt:lpwstr>eyJoZGlkIjoiNGE5ZDQwMzEyMmIwNzFjOGQ0ZGVjYjczOTFiYWIzNTgiLCJ1c2VySWQiOiI3NTUwNzAxNzAifQ==</vt:lpwstr>
  </property>
  <property fmtid="{D5CDD505-2E9C-101B-9397-08002B2CF9AE}" pid="4" name="ICV">
    <vt:lpwstr>99F469E4887B4F4291B0E5BD157BD79A_12</vt:lpwstr>
  </property>
</Properties>
</file>