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E37DA" w14:textId="77777777" w:rsidR="0056499F" w:rsidRPr="00B7008C" w:rsidRDefault="00000000" w:rsidP="00B7008C">
      <w:pPr>
        <w:spacing w:before="1440" w:after="400"/>
        <w:rPr>
          <w:rFonts w:ascii="Times New Roman" w:hAnsi="Times New Roman" w:cs="Times New Roman"/>
        </w:rPr>
      </w:pPr>
      <w:r w:rsidRPr="00B7008C">
        <w:rPr>
          <w:rFonts w:ascii="Times New Roman" w:hAnsi="Times New Roman" w:cs="Times New Roman"/>
          <w:b/>
          <w:bCs/>
          <w:color w:val="1F4E79"/>
          <w:sz w:val="52"/>
          <w:szCs w:val="52"/>
        </w:rPr>
        <w:t>Transcriptomic Analysis of COVID-19</w:t>
      </w:r>
    </w:p>
    <w:p w14:paraId="7A5183A1" w14:textId="77777777" w:rsidR="0056499F" w:rsidRPr="00B7008C" w:rsidRDefault="00000000">
      <w:pPr>
        <w:spacing w:after="300"/>
        <w:jc w:val="center"/>
        <w:rPr>
          <w:rFonts w:ascii="Times New Roman" w:hAnsi="Times New Roman" w:cs="Times New Roman"/>
        </w:rPr>
      </w:pPr>
      <w:r w:rsidRPr="00B7008C">
        <w:rPr>
          <w:rFonts w:ascii="Times New Roman" w:hAnsi="Times New Roman" w:cs="Times New Roman"/>
          <w:color w:val="2E75B6"/>
          <w:sz w:val="32"/>
          <w:szCs w:val="32"/>
        </w:rPr>
        <w:t>Hub Gene Identification, Pathway Enrichment &amp;</w:t>
      </w:r>
    </w:p>
    <w:p w14:paraId="2433A4BC" w14:textId="77777777" w:rsidR="0056499F" w:rsidRPr="00B7008C" w:rsidRDefault="00000000">
      <w:pPr>
        <w:spacing w:after="600"/>
        <w:jc w:val="center"/>
        <w:rPr>
          <w:rFonts w:ascii="Times New Roman" w:hAnsi="Times New Roman" w:cs="Times New Roman"/>
        </w:rPr>
      </w:pPr>
      <w:r w:rsidRPr="00B7008C">
        <w:rPr>
          <w:rFonts w:ascii="Times New Roman" w:hAnsi="Times New Roman" w:cs="Times New Roman"/>
          <w:color w:val="2E75B6"/>
          <w:sz w:val="32"/>
          <w:szCs w:val="32"/>
        </w:rPr>
        <w:t>Machine Learning Classification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56499F" w:rsidRPr="00B7008C" w14:paraId="043242EF" w14:textId="77777777">
        <w:tblPrEx>
          <w:tblCellMar>
            <w:top w:w="0" w:type="dxa"/>
            <w:bottom w:w="0" w:type="dxa"/>
          </w:tblCellMar>
        </w:tblPrEx>
        <w:tc>
          <w:tcPr>
            <w:tcW w:w="0" w:type="auto"/>
            <w:tcBorders>
              <w:top w:val="single" w:sz="3" w:space="0" w:color="2E75B6"/>
              <w:left w:val="single" w:sz="3" w:space="0" w:color="2E75B6"/>
              <w:bottom w:val="single" w:sz="3" w:space="0" w:color="2E75B6"/>
              <w:right w:val="single" w:sz="3" w:space="0" w:color="2E75B6"/>
            </w:tcBorders>
            <w:shd w:val="clear" w:color="auto" w:fill="EBF3FB"/>
            <w:tcMar>
              <w:top w:w="200" w:type="dxa"/>
              <w:left w:w="300" w:type="dxa"/>
              <w:bottom w:w="200" w:type="dxa"/>
              <w:right w:w="300" w:type="dxa"/>
            </w:tcMar>
          </w:tcPr>
          <w:p w14:paraId="6C4393D7" w14:textId="77777777" w:rsidR="0056499F" w:rsidRPr="00B7008C" w:rsidRDefault="00000000">
            <w:pPr>
              <w:spacing w:after="100"/>
              <w:jc w:val="center"/>
              <w:rPr>
                <w:rFonts w:ascii="Times New Roman" w:hAnsi="Times New Roman" w:cs="Times New Roman"/>
              </w:rPr>
            </w:pPr>
            <w:r w:rsidRPr="00B7008C">
              <w:rPr>
                <w:rFonts w:ascii="Times New Roman" w:hAnsi="Times New Roman" w:cs="Times New Roman"/>
                <w:b/>
                <w:bCs/>
                <w:color w:val="1F4E79"/>
              </w:rPr>
              <w:t>Dataset: GSE152418 | RNA-</w:t>
            </w:r>
            <w:proofErr w:type="spellStart"/>
            <w:r w:rsidRPr="00B7008C">
              <w:rPr>
                <w:rFonts w:ascii="Times New Roman" w:hAnsi="Times New Roman" w:cs="Times New Roman"/>
                <w:b/>
                <w:bCs/>
                <w:color w:val="1F4E79"/>
              </w:rPr>
              <w:t>seq</w:t>
            </w:r>
            <w:proofErr w:type="spellEnd"/>
            <w:r w:rsidRPr="00B7008C">
              <w:rPr>
                <w:rFonts w:ascii="Times New Roman" w:hAnsi="Times New Roman" w:cs="Times New Roman"/>
                <w:b/>
                <w:bCs/>
                <w:color w:val="1F4E79"/>
              </w:rPr>
              <w:t xml:space="preserve"> | Homo sapiens</w:t>
            </w:r>
          </w:p>
          <w:p w14:paraId="778B8D3F" w14:textId="77777777" w:rsidR="0056499F" w:rsidRPr="00B7008C" w:rsidRDefault="00000000">
            <w:pPr>
              <w:spacing w:after="100"/>
              <w:jc w:val="center"/>
              <w:rPr>
                <w:rFonts w:ascii="Times New Roman" w:hAnsi="Times New Roman" w:cs="Times New Roman"/>
              </w:rPr>
            </w:pPr>
            <w:r w:rsidRPr="00B7008C">
              <w:rPr>
                <w:rFonts w:ascii="Times New Roman" w:hAnsi="Times New Roman" w:cs="Times New Roman"/>
                <w:color w:val="333333"/>
              </w:rPr>
              <w:t>34 Samples: COVID-19, Healthy, Convalescent</w:t>
            </w:r>
          </w:p>
          <w:p w14:paraId="3FB6AAB0" w14:textId="77777777" w:rsidR="0056499F" w:rsidRPr="00B7008C" w:rsidRDefault="00000000">
            <w:pPr>
              <w:spacing w:after="100"/>
              <w:jc w:val="center"/>
              <w:rPr>
                <w:rFonts w:ascii="Times New Roman" w:hAnsi="Times New Roman" w:cs="Times New Roman"/>
              </w:rPr>
            </w:pPr>
            <w:r w:rsidRPr="00B7008C">
              <w:rPr>
                <w:rFonts w:ascii="Times New Roman" w:hAnsi="Times New Roman" w:cs="Times New Roman"/>
                <w:color w:val="333333"/>
              </w:rPr>
              <w:t xml:space="preserve">Tools: DESeq2, WGCNA, STRING, </w:t>
            </w:r>
            <w:proofErr w:type="spellStart"/>
            <w:r w:rsidRPr="00B7008C">
              <w:rPr>
                <w:rFonts w:ascii="Times New Roman" w:hAnsi="Times New Roman" w:cs="Times New Roman"/>
                <w:color w:val="333333"/>
              </w:rPr>
              <w:t>Cytoscape</w:t>
            </w:r>
            <w:proofErr w:type="spellEnd"/>
            <w:r w:rsidRPr="00B7008C">
              <w:rPr>
                <w:rFonts w:ascii="Times New Roman" w:hAnsi="Times New Roman" w:cs="Times New Roman"/>
                <w:color w:val="333333"/>
              </w:rPr>
              <w:t>, R</w:t>
            </w:r>
          </w:p>
          <w:p w14:paraId="5DBF0511" w14:textId="77777777" w:rsidR="0056499F" w:rsidRPr="00B7008C" w:rsidRDefault="00000000">
            <w:pPr>
              <w:jc w:val="center"/>
              <w:rPr>
                <w:rFonts w:ascii="Times New Roman" w:hAnsi="Times New Roman" w:cs="Times New Roman"/>
              </w:rPr>
            </w:pPr>
            <w:r w:rsidRPr="00B7008C">
              <w:rPr>
                <w:rFonts w:ascii="Times New Roman" w:hAnsi="Times New Roman" w:cs="Times New Roman"/>
                <w:color w:val="333333"/>
              </w:rPr>
              <w:t xml:space="preserve">Department of Bioinformatics | </w:t>
            </w:r>
            <w:proofErr w:type="spellStart"/>
            <w:proofErr w:type="gramStart"/>
            <w:r w:rsidRPr="00B7008C">
              <w:rPr>
                <w:rFonts w:ascii="Times New Roman" w:hAnsi="Times New Roman" w:cs="Times New Roman"/>
                <w:color w:val="333333"/>
              </w:rPr>
              <w:t>B.Tech</w:t>
            </w:r>
            <w:proofErr w:type="spellEnd"/>
            <w:proofErr w:type="gramEnd"/>
            <w:r w:rsidRPr="00B7008C">
              <w:rPr>
                <w:rFonts w:ascii="Times New Roman" w:hAnsi="Times New Roman" w:cs="Times New Roman"/>
                <w:color w:val="333333"/>
              </w:rPr>
              <w:t xml:space="preserve"> Project</w:t>
            </w:r>
          </w:p>
        </w:tc>
      </w:tr>
    </w:tbl>
    <w:p w14:paraId="173E7191" w14:textId="77777777" w:rsidR="0056499F" w:rsidRPr="00B7008C" w:rsidRDefault="00000000">
      <w:pPr>
        <w:rPr>
          <w:rFonts w:ascii="Times New Roman" w:hAnsi="Times New Roman" w:cs="Times New Roman"/>
        </w:rPr>
      </w:pPr>
      <w:r w:rsidRPr="00B7008C">
        <w:rPr>
          <w:rFonts w:ascii="Times New Roman" w:hAnsi="Times New Roman" w:cs="Times New Roman"/>
        </w:rPr>
        <w:br w:type="page"/>
      </w:r>
    </w:p>
    <w:p w14:paraId="519777A1" w14:textId="77777777" w:rsidR="0056499F" w:rsidRPr="00B7008C" w:rsidRDefault="00000000">
      <w:pPr>
        <w:pStyle w:val="Heading1"/>
        <w:rPr>
          <w:rFonts w:ascii="Times New Roman" w:hAnsi="Times New Roman" w:cs="Times New Roman"/>
        </w:rPr>
      </w:pPr>
      <w:r w:rsidRPr="00B7008C">
        <w:rPr>
          <w:rFonts w:ascii="Times New Roman" w:hAnsi="Times New Roman" w:cs="Times New Roman"/>
        </w:rPr>
        <w:lastRenderedPageBreak/>
        <w:t>Abstract</w:t>
      </w:r>
    </w:p>
    <w:p w14:paraId="3AD53EEB"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COVID-19, caused by SARS-CoV-2, triggers extensive dysregulation of host gene expression, yet the molecular mechanisms underlying disease severity remain incompletely understood. This study presents an integrated bioinformatics pipeline to identify key hub genes and biological pathways involved in COVID-19 pathogenesis using publicly available RNA-</w:t>
      </w:r>
      <w:proofErr w:type="spellStart"/>
      <w:r w:rsidRPr="00B7008C">
        <w:rPr>
          <w:rFonts w:ascii="Times New Roman" w:hAnsi="Times New Roman" w:cs="Times New Roman"/>
        </w:rPr>
        <w:t>seq</w:t>
      </w:r>
      <w:proofErr w:type="spellEnd"/>
      <w:r w:rsidRPr="00B7008C">
        <w:rPr>
          <w:rFonts w:ascii="Times New Roman" w:hAnsi="Times New Roman" w:cs="Times New Roman"/>
        </w:rPr>
        <w:t xml:space="preserve"> data (GSE152418) comprising 34 samples including COVID-19 patients, healthy controls, and convalescent individuals.</w:t>
      </w:r>
    </w:p>
    <w:p w14:paraId="21DB98A3" w14:textId="77777777" w:rsidR="0056499F" w:rsidRPr="00B7008C" w:rsidRDefault="0056499F">
      <w:pPr>
        <w:spacing w:before="60" w:after="60"/>
        <w:rPr>
          <w:rFonts w:ascii="Times New Roman" w:hAnsi="Times New Roman" w:cs="Times New Roman"/>
        </w:rPr>
      </w:pPr>
    </w:p>
    <w:p w14:paraId="007B61D6"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 xml:space="preserve">Differential expression analysis using DESeq2 identified 4,522 significant differentially expressed genes (adjusted p-value &lt; 0.05, |log2FC| &gt;= 1). Weighted Gene Co-expression Network Analysis (WGCNA) revealed 16 co-expression modules, of which the turquoise module showed the strongest positive correlation with COVID-19 condition. Intersection of DEGs with WGCNA hub genes yielded 297 candidate proteins, which were subjected to Protein-Protein Interaction (PPI) network analysis using STRING (confidence &gt;= 0.4) and visualized in </w:t>
      </w:r>
      <w:proofErr w:type="spellStart"/>
      <w:r w:rsidRPr="00B7008C">
        <w:rPr>
          <w:rFonts w:ascii="Times New Roman" w:hAnsi="Times New Roman" w:cs="Times New Roman"/>
        </w:rPr>
        <w:t>Cytoscape</w:t>
      </w:r>
      <w:proofErr w:type="spellEnd"/>
      <w:r w:rsidRPr="00B7008C">
        <w:rPr>
          <w:rFonts w:ascii="Times New Roman" w:hAnsi="Times New Roman" w:cs="Times New Roman"/>
        </w:rPr>
        <w:t xml:space="preserve">. </w:t>
      </w:r>
      <w:proofErr w:type="spellStart"/>
      <w:r w:rsidRPr="00B7008C">
        <w:rPr>
          <w:rFonts w:ascii="Times New Roman" w:hAnsi="Times New Roman" w:cs="Times New Roman"/>
        </w:rPr>
        <w:t>CytoHubba</w:t>
      </w:r>
      <w:proofErr w:type="spellEnd"/>
      <w:r w:rsidRPr="00B7008C">
        <w:rPr>
          <w:rFonts w:ascii="Times New Roman" w:hAnsi="Times New Roman" w:cs="Times New Roman"/>
        </w:rPr>
        <w:t xml:space="preserve"> analysis using the Maximum Clique Centrality (MCC) algorithm identified 10 hub genes: CDC45, SPAG5, TTK, CCNA2, BIRC5, BUB1B, PBK, CDK1, KIF2C, and MELK.</w:t>
      </w:r>
    </w:p>
    <w:p w14:paraId="18650033" w14:textId="77777777" w:rsidR="0056499F" w:rsidRPr="00B7008C" w:rsidRDefault="0056499F">
      <w:pPr>
        <w:spacing w:before="60" w:after="60"/>
        <w:rPr>
          <w:rFonts w:ascii="Times New Roman" w:hAnsi="Times New Roman" w:cs="Times New Roman"/>
        </w:rPr>
      </w:pPr>
    </w:p>
    <w:p w14:paraId="75C55381"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Functional enrichment analysis revealed significant enrichment in cell cycle regulation, mitotic chromosome segregation, and the KEGG Cell Cycle pathway (</w:t>
      </w:r>
      <w:proofErr w:type="spellStart"/>
      <w:proofErr w:type="gramStart"/>
      <w:r w:rsidRPr="00B7008C">
        <w:rPr>
          <w:rFonts w:ascii="Times New Roman" w:hAnsi="Times New Roman" w:cs="Times New Roman"/>
        </w:rPr>
        <w:t>p.adjust</w:t>
      </w:r>
      <w:proofErr w:type="spellEnd"/>
      <w:proofErr w:type="gramEnd"/>
      <w:r w:rsidRPr="00B7008C">
        <w:rPr>
          <w:rFonts w:ascii="Times New Roman" w:hAnsi="Times New Roman" w:cs="Times New Roman"/>
        </w:rPr>
        <w:t xml:space="preserve"> ~1x10-6). Hub gene expression was significantly upregulated with increasing disease severity and was distinctly higher in COVID-19 compared to Influenza and RSV. Validation using </w:t>
      </w:r>
      <w:proofErr w:type="spellStart"/>
      <w:r w:rsidRPr="00B7008C">
        <w:rPr>
          <w:rFonts w:ascii="Times New Roman" w:hAnsi="Times New Roman" w:cs="Times New Roman"/>
        </w:rPr>
        <w:t>edgeR</w:t>
      </w:r>
      <w:proofErr w:type="spellEnd"/>
      <w:r w:rsidRPr="00B7008C">
        <w:rPr>
          <w:rFonts w:ascii="Times New Roman" w:hAnsi="Times New Roman" w:cs="Times New Roman"/>
        </w:rPr>
        <w:t xml:space="preserve"> and </w:t>
      </w:r>
      <w:proofErr w:type="spellStart"/>
      <w:r w:rsidRPr="00B7008C">
        <w:rPr>
          <w:rFonts w:ascii="Times New Roman" w:hAnsi="Times New Roman" w:cs="Times New Roman"/>
        </w:rPr>
        <w:t>limma-voom</w:t>
      </w:r>
      <w:proofErr w:type="spellEnd"/>
      <w:r w:rsidRPr="00B7008C">
        <w:rPr>
          <w:rFonts w:ascii="Times New Roman" w:hAnsi="Times New Roman" w:cs="Times New Roman"/>
        </w:rPr>
        <w:t xml:space="preserve"> confirmed 1,354 concordant DEGs across all three methods. Machine learning classification using Random Forest (AUC = 0.84) and SVM (AUC = 0.88) demonstrated that the 10-gene hub signature can effectively distinguish COVID-19 patients from healthy controls.</w:t>
      </w:r>
    </w:p>
    <w:p w14:paraId="2E21834C" w14:textId="77777777" w:rsidR="0056499F" w:rsidRPr="00B7008C" w:rsidRDefault="0056499F">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499F" w:rsidRPr="00B7008C" w14:paraId="292C6072" w14:textId="77777777">
        <w:tblPrEx>
          <w:tblCellMar>
            <w:top w:w="0" w:type="dxa"/>
            <w:bottom w:w="0" w:type="dxa"/>
          </w:tblCellMar>
        </w:tblPrEx>
        <w:tc>
          <w:tcPr>
            <w:tcW w:w="0" w:type="auto"/>
            <w:tcBorders>
              <w:top w:val="single" w:sz="3" w:space="0" w:color="2E75B6"/>
              <w:left w:val="thick" w:sz="12" w:space="0" w:color="1F4E79"/>
              <w:bottom w:val="single" w:sz="3" w:space="0" w:color="2E75B6"/>
              <w:right w:val="single" w:sz="3" w:space="0" w:color="2E75B6"/>
            </w:tcBorders>
            <w:shd w:val="clear" w:color="auto" w:fill="EBF3FB"/>
            <w:tcMar>
              <w:top w:w="120" w:type="dxa"/>
              <w:left w:w="200" w:type="dxa"/>
              <w:bottom w:w="120" w:type="dxa"/>
              <w:right w:w="120" w:type="dxa"/>
            </w:tcMar>
          </w:tcPr>
          <w:p w14:paraId="56B6CD67" w14:textId="77777777" w:rsidR="0056499F" w:rsidRPr="00B7008C" w:rsidRDefault="00000000">
            <w:pPr>
              <w:spacing w:before="60" w:after="60"/>
              <w:rPr>
                <w:rFonts w:ascii="Times New Roman" w:hAnsi="Times New Roman" w:cs="Times New Roman"/>
              </w:rPr>
            </w:pPr>
            <w:r w:rsidRPr="00B7008C">
              <w:rPr>
                <w:rFonts w:ascii="Times New Roman" w:hAnsi="Times New Roman" w:cs="Times New Roman"/>
                <w:b/>
                <w:bCs/>
                <w:color w:val="1F4E79"/>
              </w:rPr>
              <w:t>Keywords</w:t>
            </w:r>
          </w:p>
          <w:p w14:paraId="3DF2DD9B" w14:textId="77777777" w:rsidR="0056499F" w:rsidRPr="00B7008C" w:rsidRDefault="00000000">
            <w:pPr>
              <w:spacing w:before="60" w:after="60"/>
              <w:rPr>
                <w:rFonts w:ascii="Times New Roman" w:hAnsi="Times New Roman" w:cs="Times New Roman"/>
              </w:rPr>
            </w:pPr>
            <w:r w:rsidRPr="00B7008C">
              <w:rPr>
                <w:rFonts w:ascii="Times New Roman" w:hAnsi="Times New Roman" w:cs="Times New Roman"/>
              </w:rPr>
              <w:t>COVID-19, RNA-</w:t>
            </w:r>
            <w:proofErr w:type="spellStart"/>
            <w:r w:rsidRPr="00B7008C">
              <w:rPr>
                <w:rFonts w:ascii="Times New Roman" w:hAnsi="Times New Roman" w:cs="Times New Roman"/>
              </w:rPr>
              <w:t>seq</w:t>
            </w:r>
            <w:proofErr w:type="spellEnd"/>
            <w:r w:rsidRPr="00B7008C">
              <w:rPr>
                <w:rFonts w:ascii="Times New Roman" w:hAnsi="Times New Roman" w:cs="Times New Roman"/>
              </w:rPr>
              <w:t xml:space="preserve">, Differential Gene Expression, WGCNA, PPI Network, Hub Genes, Machine Learning, Cell Cycle, DESeq2, </w:t>
            </w:r>
            <w:proofErr w:type="spellStart"/>
            <w:r w:rsidRPr="00B7008C">
              <w:rPr>
                <w:rFonts w:ascii="Times New Roman" w:hAnsi="Times New Roman" w:cs="Times New Roman"/>
              </w:rPr>
              <w:t>CytoHubba</w:t>
            </w:r>
            <w:proofErr w:type="spellEnd"/>
          </w:p>
        </w:tc>
      </w:tr>
    </w:tbl>
    <w:p w14:paraId="267CC6CA" w14:textId="77777777" w:rsidR="0056499F" w:rsidRPr="00B7008C" w:rsidRDefault="0056499F">
      <w:pPr>
        <w:spacing w:before="60" w:after="60"/>
        <w:rPr>
          <w:rFonts w:ascii="Times New Roman" w:hAnsi="Times New Roman" w:cs="Times New Roman"/>
        </w:rPr>
      </w:pPr>
    </w:p>
    <w:p w14:paraId="1BE2F0E7" w14:textId="77777777" w:rsidR="0056499F" w:rsidRPr="00B7008C" w:rsidRDefault="00000000">
      <w:pPr>
        <w:rPr>
          <w:rFonts w:ascii="Times New Roman" w:hAnsi="Times New Roman" w:cs="Times New Roman"/>
        </w:rPr>
      </w:pPr>
      <w:r w:rsidRPr="00B7008C">
        <w:rPr>
          <w:rFonts w:ascii="Times New Roman" w:hAnsi="Times New Roman" w:cs="Times New Roman"/>
        </w:rPr>
        <w:br w:type="page"/>
      </w:r>
    </w:p>
    <w:p w14:paraId="6C408643" w14:textId="77777777" w:rsidR="0056499F" w:rsidRPr="00B7008C" w:rsidRDefault="00000000">
      <w:pPr>
        <w:pStyle w:val="Heading1"/>
        <w:rPr>
          <w:rFonts w:ascii="Times New Roman" w:hAnsi="Times New Roman" w:cs="Times New Roman"/>
        </w:rPr>
      </w:pPr>
      <w:r w:rsidRPr="00B7008C">
        <w:rPr>
          <w:rFonts w:ascii="Times New Roman" w:hAnsi="Times New Roman" w:cs="Times New Roman"/>
        </w:rPr>
        <w:lastRenderedPageBreak/>
        <w:t>1. Introduction</w:t>
      </w:r>
    </w:p>
    <w:p w14:paraId="026BA8F6"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The coronavirus disease 2019 (COVID-19), caused by the novel severe acute respiratory syndrome coronavirus 2 (SARS-CoV-2), emerged as a global pandemic in 2019 and has since resulted in millions of deaths worldwide. The disease presents with a wide clinical spectrum, ranging from asymptomatic infection to severe respiratory failure requiring intensive care unit (ICU) admission. Despite significant advances in vaccine development and therapeutic interventions, the molecular mechanisms underlying COVID-19 pathogenesis, particularly those governing disease severity, remain incompletely elucidated.</w:t>
      </w:r>
    </w:p>
    <w:p w14:paraId="773D9924" w14:textId="77777777" w:rsidR="0056499F" w:rsidRPr="00B7008C" w:rsidRDefault="0056499F">
      <w:pPr>
        <w:spacing w:before="60" w:after="60"/>
        <w:rPr>
          <w:rFonts w:ascii="Times New Roman" w:hAnsi="Times New Roman" w:cs="Times New Roman"/>
        </w:rPr>
      </w:pPr>
    </w:p>
    <w:p w14:paraId="1128E7A1"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SARS-CoV-2 infection triggers a complex host transcriptomic response involving widespread dysregulation of gene expression across multiple biological pathways. Understanding these transcriptomic alterations at a systems biology level is essential for identifying the key molecular drivers of disease progression. High-throughput RNA sequencing (RNA-</w:t>
      </w:r>
      <w:proofErr w:type="spellStart"/>
      <w:r w:rsidRPr="00B7008C">
        <w:rPr>
          <w:rFonts w:ascii="Times New Roman" w:hAnsi="Times New Roman" w:cs="Times New Roman"/>
        </w:rPr>
        <w:t>seq</w:t>
      </w:r>
      <w:proofErr w:type="spellEnd"/>
      <w:r w:rsidRPr="00B7008C">
        <w:rPr>
          <w:rFonts w:ascii="Times New Roman" w:hAnsi="Times New Roman" w:cs="Times New Roman"/>
        </w:rPr>
        <w:t>) has emerged as a powerful tool for profiling genome-wide gene expression changes, enabling the identification of differentially expressed genes (DEGs) and co-expressed gene networks associated with disease states.</w:t>
      </w:r>
    </w:p>
    <w:p w14:paraId="694AC51B" w14:textId="77777777" w:rsidR="0056499F" w:rsidRPr="00B7008C" w:rsidRDefault="0056499F">
      <w:pPr>
        <w:spacing w:before="60" w:after="60"/>
        <w:rPr>
          <w:rFonts w:ascii="Times New Roman" w:hAnsi="Times New Roman" w:cs="Times New Roman"/>
        </w:rPr>
      </w:pPr>
    </w:p>
    <w:p w14:paraId="747890CB"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In this study, we present a comprehensive bioinformatics analysis of COVID-19 RNA-</w:t>
      </w:r>
      <w:proofErr w:type="spellStart"/>
      <w:r w:rsidRPr="00B7008C">
        <w:rPr>
          <w:rFonts w:ascii="Times New Roman" w:hAnsi="Times New Roman" w:cs="Times New Roman"/>
        </w:rPr>
        <w:t>seq</w:t>
      </w:r>
      <w:proofErr w:type="spellEnd"/>
      <w:r w:rsidRPr="00B7008C">
        <w:rPr>
          <w:rFonts w:ascii="Times New Roman" w:hAnsi="Times New Roman" w:cs="Times New Roman"/>
        </w:rPr>
        <w:t xml:space="preserve"> data (GSE152418) using an integrated pipeline encompassing differential expression analysis (DESeq2), weighted gene co-expression network analysis (WGCNA), protein-protein interaction network construction (STRING + </w:t>
      </w:r>
      <w:proofErr w:type="spellStart"/>
      <w:r w:rsidRPr="00B7008C">
        <w:rPr>
          <w:rFonts w:ascii="Times New Roman" w:hAnsi="Times New Roman" w:cs="Times New Roman"/>
        </w:rPr>
        <w:t>Cytoscape</w:t>
      </w:r>
      <w:proofErr w:type="spellEnd"/>
      <w:r w:rsidRPr="00B7008C">
        <w:rPr>
          <w:rFonts w:ascii="Times New Roman" w:hAnsi="Times New Roman" w:cs="Times New Roman"/>
        </w:rPr>
        <w:t>), functional enrichment analysis (GO + KEGG), cross-disease comparative analysis, multi-method validation (</w:t>
      </w:r>
      <w:proofErr w:type="spellStart"/>
      <w:r w:rsidRPr="00B7008C">
        <w:rPr>
          <w:rFonts w:ascii="Times New Roman" w:hAnsi="Times New Roman" w:cs="Times New Roman"/>
        </w:rPr>
        <w:t>edgeR</w:t>
      </w:r>
      <w:proofErr w:type="spellEnd"/>
      <w:r w:rsidRPr="00B7008C">
        <w:rPr>
          <w:rFonts w:ascii="Times New Roman" w:hAnsi="Times New Roman" w:cs="Times New Roman"/>
        </w:rPr>
        <w:t xml:space="preserve"> + </w:t>
      </w:r>
      <w:proofErr w:type="spellStart"/>
      <w:r w:rsidRPr="00B7008C">
        <w:rPr>
          <w:rFonts w:ascii="Times New Roman" w:hAnsi="Times New Roman" w:cs="Times New Roman"/>
        </w:rPr>
        <w:t>limma-voom</w:t>
      </w:r>
      <w:proofErr w:type="spellEnd"/>
      <w:r w:rsidRPr="00B7008C">
        <w:rPr>
          <w:rFonts w:ascii="Times New Roman" w:hAnsi="Times New Roman" w:cs="Times New Roman"/>
        </w:rPr>
        <w:t>), and machine learning classification.</w:t>
      </w:r>
    </w:p>
    <w:p w14:paraId="5057C2D7" w14:textId="77777777" w:rsidR="0056499F" w:rsidRPr="00B7008C" w:rsidRDefault="0056499F">
      <w:pPr>
        <w:spacing w:before="60" w:after="60"/>
        <w:rPr>
          <w:rFonts w:ascii="Times New Roman" w:hAnsi="Times New Roman" w:cs="Times New Roman"/>
        </w:rPr>
      </w:pPr>
    </w:p>
    <w:p w14:paraId="51DA9F20"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1.1 Objectives</w:t>
      </w:r>
    </w:p>
    <w:p w14:paraId="4B17737A"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To identify significant differentially expressed genes between COVID-19 patients and healthy controls.</w:t>
      </w:r>
    </w:p>
    <w:p w14:paraId="5DB5FBE4"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To construct co-expression modules and identify the module most strongly associated with COVID-19 condition.</w:t>
      </w:r>
    </w:p>
    <w:p w14:paraId="298D3B3D"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To build a PPI network and identify hub genes using network centrality analysis.</w:t>
      </w:r>
    </w:p>
    <w:p w14:paraId="2A264BBC"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To perform functional enrichment analysis to understand the biological pathways enriched in hub genes.</w:t>
      </w:r>
    </w:p>
    <w:p w14:paraId="1A342418"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To correlate hub gene expression with clinical severity and compare expression patterns across respiratory infections.</w:t>
      </w:r>
    </w:p>
    <w:p w14:paraId="5D597A6B"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To validate DEG findings across multiple statistical methods and assess concordance.</w:t>
      </w:r>
    </w:p>
    <w:p w14:paraId="4CBA4292"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lastRenderedPageBreak/>
        <w:t>To evaluate the classification performance of the hub gene signature using machine learning algorithms.</w:t>
      </w:r>
    </w:p>
    <w:p w14:paraId="2098C3DE" w14:textId="77777777" w:rsidR="0056499F" w:rsidRPr="00B7008C" w:rsidRDefault="0056499F">
      <w:pPr>
        <w:spacing w:before="60" w:after="60"/>
        <w:rPr>
          <w:rFonts w:ascii="Times New Roman" w:hAnsi="Times New Roman" w:cs="Times New Roman"/>
        </w:rPr>
      </w:pPr>
    </w:p>
    <w:p w14:paraId="2B2668AB" w14:textId="7BBCB794" w:rsidR="0056499F" w:rsidRPr="00B7008C" w:rsidRDefault="00000000" w:rsidP="00B7008C">
      <w:pPr>
        <w:rPr>
          <w:rFonts w:ascii="Times New Roman" w:hAnsi="Times New Roman" w:cs="Times New Roman"/>
        </w:rPr>
      </w:pPr>
      <w:r w:rsidRPr="00B7008C">
        <w:rPr>
          <w:rFonts w:ascii="Times New Roman" w:hAnsi="Times New Roman" w:cs="Times New Roman"/>
          <w:b/>
          <w:bCs/>
          <w:color w:val="1F4E79"/>
          <w:sz w:val="32"/>
          <w:szCs w:val="32"/>
        </w:rPr>
        <w:t>2. Materials and Methods</w:t>
      </w:r>
    </w:p>
    <w:p w14:paraId="7B8A348B"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2.1 Dataset</w:t>
      </w:r>
    </w:p>
    <w:p w14:paraId="000EC331"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The RNA-</w:t>
      </w:r>
      <w:proofErr w:type="spellStart"/>
      <w:r w:rsidRPr="00B7008C">
        <w:rPr>
          <w:rFonts w:ascii="Times New Roman" w:hAnsi="Times New Roman" w:cs="Times New Roman"/>
        </w:rPr>
        <w:t>seq</w:t>
      </w:r>
      <w:proofErr w:type="spellEnd"/>
      <w:r w:rsidRPr="00B7008C">
        <w:rPr>
          <w:rFonts w:ascii="Times New Roman" w:hAnsi="Times New Roman" w:cs="Times New Roman"/>
        </w:rPr>
        <w:t xml:space="preserve"> dataset GSE152418 was retrieved from the NCBI Gene Expression Omnibus (GEO) database. This dataset comprises 34 human peripheral blood mononuclear cell (PBMC) samples including 16 COVID-19 patients, 17 healthy controls, and 1 convalescent individual. COVID-19 patient samples were further stratified by disease severity into moderate (n=4), severe (n=8), and ICU (n=4) groups.</w:t>
      </w:r>
    </w:p>
    <w:p w14:paraId="5162EAAB" w14:textId="77777777" w:rsidR="0056499F" w:rsidRPr="00B7008C" w:rsidRDefault="0056499F">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4120"/>
      </w:tblGrid>
      <w:tr w:rsidR="0056499F" w:rsidRPr="00B7008C" w14:paraId="3BE71D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D180FB"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Group</w:t>
            </w:r>
          </w:p>
        </w:tc>
        <w:tc>
          <w:tcPr>
            <w:tcW w:w="2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4E0303"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Count</w:t>
            </w:r>
          </w:p>
        </w:tc>
        <w:tc>
          <w:tcPr>
            <w:tcW w:w="4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D65E28"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Severity Breakdown</w:t>
            </w:r>
          </w:p>
        </w:tc>
      </w:tr>
      <w:tr w:rsidR="0056499F" w:rsidRPr="00B7008C" w14:paraId="7C8770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53DF3D"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COVID-19 Patients</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7DF82"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16</w:t>
            </w:r>
          </w:p>
        </w:tc>
        <w:tc>
          <w:tcPr>
            <w:tcW w:w="4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36487B"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Moderate: 4 | Severe: 8 | ICU: 4</w:t>
            </w:r>
          </w:p>
        </w:tc>
      </w:tr>
      <w:tr w:rsidR="0056499F" w:rsidRPr="00B7008C" w14:paraId="2F18E6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D35F6"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Healthy Controls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C11D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17</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4EEC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w:t>
            </w:r>
          </w:p>
        </w:tc>
      </w:tr>
      <w:tr w:rsidR="0056499F" w:rsidRPr="00B7008C" w14:paraId="71F224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3DEBBE"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Convalescent</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89B743"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w:t>
            </w:r>
          </w:p>
        </w:tc>
        <w:tc>
          <w:tcPr>
            <w:tcW w:w="4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4833A5"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w:t>
            </w:r>
          </w:p>
        </w:tc>
      </w:tr>
      <w:tr w:rsidR="0056499F" w:rsidRPr="00B7008C" w14:paraId="6A72E1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FEB83"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Total Samples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B01B0"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34</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CBBF1"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w:t>
            </w:r>
          </w:p>
        </w:tc>
      </w:tr>
    </w:tbl>
    <w:p w14:paraId="5450E3C2" w14:textId="77777777" w:rsidR="0056499F" w:rsidRPr="00B7008C" w:rsidRDefault="0056499F">
      <w:pPr>
        <w:spacing w:before="60" w:after="60"/>
        <w:rPr>
          <w:rFonts w:ascii="Times New Roman" w:hAnsi="Times New Roman" w:cs="Times New Roman"/>
        </w:rPr>
      </w:pPr>
    </w:p>
    <w:p w14:paraId="3E3E73F3"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2.2 Data Preprocessing and Quality Control</w:t>
      </w:r>
    </w:p>
    <w:p w14:paraId="7CF30F62"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Raw count data were loaded into R and subjected to quality control. Principal Component Analysis (PCA) and MA plots were generated to assess sample-level variation and data distribution. Low-count genes were filtered by retaining only genes with a minimum of 10 counts in at least 3 samples. Normalization was performed within each respective analysis framework.</w:t>
      </w:r>
    </w:p>
    <w:p w14:paraId="13A22834" w14:textId="77777777" w:rsidR="0056499F" w:rsidRPr="00B7008C" w:rsidRDefault="0056499F">
      <w:pPr>
        <w:spacing w:before="60" w:after="60"/>
        <w:rPr>
          <w:rFonts w:ascii="Times New Roman" w:hAnsi="Times New Roman" w:cs="Times New Roman"/>
        </w:rPr>
      </w:pPr>
    </w:p>
    <w:p w14:paraId="4EED0145"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2.3 Differential Expression Analysis</w:t>
      </w:r>
    </w:p>
    <w:p w14:paraId="75569E9D"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Differential expression analysis was performed using the DESeq2 package in R/Bioconductor. COVID-19 samples were compared against healthy controls using a negative binomial generalized linear model. Genes were considered significantly differentially expressed if they met the following criteria:</w:t>
      </w:r>
    </w:p>
    <w:p w14:paraId="170FD21E" w14:textId="77777777" w:rsidR="0056499F" w:rsidRPr="00B7008C" w:rsidRDefault="00000000">
      <w:pPr>
        <w:pStyle w:val="ListParagraph"/>
        <w:numPr>
          <w:ilvl w:val="0"/>
          <w:numId w:val="3"/>
        </w:numPr>
        <w:spacing w:before="60" w:after="60" w:line="320" w:lineRule="auto"/>
        <w:rPr>
          <w:rFonts w:ascii="Times New Roman" w:hAnsi="Times New Roman" w:cs="Times New Roman"/>
        </w:rPr>
      </w:pPr>
      <w:r w:rsidRPr="00B7008C">
        <w:rPr>
          <w:rFonts w:ascii="Times New Roman" w:hAnsi="Times New Roman" w:cs="Times New Roman"/>
        </w:rPr>
        <w:t>Adjusted p-value (Benjamini-Hochberg correction) &lt; 0.05</w:t>
      </w:r>
    </w:p>
    <w:p w14:paraId="54FC7DB9" w14:textId="77777777" w:rsidR="0056499F" w:rsidRPr="00B7008C" w:rsidRDefault="00000000">
      <w:pPr>
        <w:pStyle w:val="ListParagraph"/>
        <w:numPr>
          <w:ilvl w:val="0"/>
          <w:numId w:val="3"/>
        </w:numPr>
        <w:spacing w:before="60" w:after="60" w:line="320" w:lineRule="auto"/>
        <w:rPr>
          <w:rFonts w:ascii="Times New Roman" w:hAnsi="Times New Roman" w:cs="Times New Roman"/>
        </w:rPr>
      </w:pPr>
      <w:r w:rsidRPr="00B7008C">
        <w:rPr>
          <w:rFonts w:ascii="Times New Roman" w:hAnsi="Times New Roman" w:cs="Times New Roman"/>
        </w:rPr>
        <w:t>Absolute log2 fold change &gt;= 1</w:t>
      </w:r>
    </w:p>
    <w:p w14:paraId="756FFE37" w14:textId="77777777" w:rsidR="0056499F" w:rsidRPr="00B7008C" w:rsidRDefault="0056499F">
      <w:pPr>
        <w:spacing w:before="60" w:after="60"/>
        <w:rPr>
          <w:rFonts w:ascii="Times New Roman" w:hAnsi="Times New Roman" w:cs="Times New Roman"/>
        </w:rPr>
      </w:pPr>
    </w:p>
    <w:p w14:paraId="64788647"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2.4 Weighted Gene Co-expression Network Analysis (WGCNA)</w:t>
      </w:r>
    </w:p>
    <w:p w14:paraId="7EC44D32"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lastRenderedPageBreak/>
        <w:t>Co-expression network analysis was performed using the WGCNA package in R. The top 5,000 most variable genes were selected for network construction. A soft thresholding power of 9 was selected based on the scale-free topology criterion (R2 &gt;= 0.90). Hub genes were defined as genes with Module Membership (MM) &gt; 0.8 and Gene Significance (GS) &gt; 0.2.</w:t>
      </w:r>
    </w:p>
    <w:p w14:paraId="4BD27D96" w14:textId="77777777" w:rsidR="0056499F" w:rsidRPr="00B7008C" w:rsidRDefault="0056499F">
      <w:pPr>
        <w:spacing w:before="60" w:after="60"/>
        <w:rPr>
          <w:rFonts w:ascii="Times New Roman" w:hAnsi="Times New Roman" w:cs="Times New Roman"/>
        </w:rPr>
      </w:pPr>
    </w:p>
    <w:p w14:paraId="6528B83C"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2.5 PPI Network Construction</w:t>
      </w:r>
    </w:p>
    <w:p w14:paraId="6630C058"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 xml:space="preserve">The intersection of significant DEGs and WGCNA hub genes yielded 297 candidate proteins submitted to the STRING database (confidence &gt;= 0.4). The resulting network (194 nodes, 6,705 edges) was imported into </w:t>
      </w:r>
      <w:proofErr w:type="spellStart"/>
      <w:r w:rsidRPr="00B7008C">
        <w:rPr>
          <w:rFonts w:ascii="Times New Roman" w:hAnsi="Times New Roman" w:cs="Times New Roman"/>
        </w:rPr>
        <w:t>Cytoscape</w:t>
      </w:r>
      <w:proofErr w:type="spellEnd"/>
      <w:r w:rsidRPr="00B7008C">
        <w:rPr>
          <w:rFonts w:ascii="Times New Roman" w:hAnsi="Times New Roman" w:cs="Times New Roman"/>
        </w:rPr>
        <w:t xml:space="preserve">. The </w:t>
      </w:r>
      <w:proofErr w:type="spellStart"/>
      <w:r w:rsidRPr="00B7008C">
        <w:rPr>
          <w:rFonts w:ascii="Times New Roman" w:hAnsi="Times New Roman" w:cs="Times New Roman"/>
        </w:rPr>
        <w:t>CytoHubba</w:t>
      </w:r>
      <w:proofErr w:type="spellEnd"/>
      <w:r w:rsidRPr="00B7008C">
        <w:rPr>
          <w:rFonts w:ascii="Times New Roman" w:hAnsi="Times New Roman" w:cs="Times New Roman"/>
        </w:rPr>
        <w:t xml:space="preserve"> plugin with the Maximum Clique Centrality (MCC) algorithm identified the top 10 hub genes.</w:t>
      </w:r>
    </w:p>
    <w:p w14:paraId="774FD50B" w14:textId="77777777" w:rsidR="0056499F" w:rsidRPr="00B7008C" w:rsidRDefault="0056499F">
      <w:pPr>
        <w:spacing w:before="60" w:after="60"/>
        <w:rPr>
          <w:rFonts w:ascii="Times New Roman" w:hAnsi="Times New Roman" w:cs="Times New Roman"/>
        </w:rPr>
      </w:pPr>
    </w:p>
    <w:p w14:paraId="4CAD0879"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2.6 Functional Enrichment Analysis</w:t>
      </w:r>
    </w:p>
    <w:p w14:paraId="252ADF01"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 xml:space="preserve">GO and KEGG pathway enrichment analyses were performed on the top 10 hub genes using the </w:t>
      </w:r>
      <w:proofErr w:type="spellStart"/>
      <w:r w:rsidRPr="00B7008C">
        <w:rPr>
          <w:rFonts w:ascii="Times New Roman" w:hAnsi="Times New Roman" w:cs="Times New Roman"/>
        </w:rPr>
        <w:t>clusterProfiler</w:t>
      </w:r>
      <w:proofErr w:type="spellEnd"/>
      <w:r w:rsidRPr="00B7008C">
        <w:rPr>
          <w:rFonts w:ascii="Times New Roman" w:hAnsi="Times New Roman" w:cs="Times New Roman"/>
        </w:rPr>
        <w:t xml:space="preserve"> package in R. A significance threshold of adjusted p-value &lt; 0.05 and q-value &lt; 0.05 was applied.</w:t>
      </w:r>
    </w:p>
    <w:p w14:paraId="78B9E30E" w14:textId="77777777" w:rsidR="0056499F" w:rsidRPr="00B7008C" w:rsidRDefault="0056499F">
      <w:pPr>
        <w:spacing w:before="60" w:after="60"/>
        <w:rPr>
          <w:rFonts w:ascii="Times New Roman" w:hAnsi="Times New Roman" w:cs="Times New Roman"/>
        </w:rPr>
      </w:pPr>
    </w:p>
    <w:p w14:paraId="0E488B0C"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2.7 Clinical Severity and Cross-Disease Analysis</w:t>
      </w:r>
    </w:p>
    <w:p w14:paraId="100B01B0"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 xml:space="preserve">Clinical metadata including disease severity (Moderate, Severe, ICU) were retrieved using the </w:t>
      </w:r>
      <w:proofErr w:type="spellStart"/>
      <w:r w:rsidRPr="00B7008C">
        <w:rPr>
          <w:rFonts w:ascii="Times New Roman" w:hAnsi="Times New Roman" w:cs="Times New Roman"/>
        </w:rPr>
        <w:t>GEOquery</w:t>
      </w:r>
      <w:proofErr w:type="spellEnd"/>
      <w:r w:rsidRPr="00B7008C">
        <w:rPr>
          <w:rFonts w:ascii="Times New Roman" w:hAnsi="Times New Roman" w:cs="Times New Roman"/>
        </w:rPr>
        <w:t xml:space="preserve"> package. Hub gene expression was compared across severity groups using the Kruskal-Wallis non-parametric test. Cross-disease comparison was performed using Influenza (GSE111368) and RSV (GSE34205) datasets.</w:t>
      </w:r>
    </w:p>
    <w:p w14:paraId="114C6481" w14:textId="77777777" w:rsidR="0056499F" w:rsidRPr="00B7008C" w:rsidRDefault="0056499F">
      <w:pPr>
        <w:spacing w:before="60" w:after="60"/>
        <w:rPr>
          <w:rFonts w:ascii="Times New Roman" w:hAnsi="Times New Roman" w:cs="Times New Roman"/>
        </w:rPr>
      </w:pPr>
    </w:p>
    <w:p w14:paraId="3AB858BE"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2.8 Validation Analysis</w:t>
      </w:r>
    </w:p>
    <w:p w14:paraId="4D314D7C"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 xml:space="preserve">Parallel differential expression analyses were performed using </w:t>
      </w:r>
      <w:proofErr w:type="spellStart"/>
      <w:r w:rsidRPr="00B7008C">
        <w:rPr>
          <w:rFonts w:ascii="Times New Roman" w:hAnsi="Times New Roman" w:cs="Times New Roman"/>
        </w:rPr>
        <w:t>edgeR</w:t>
      </w:r>
      <w:proofErr w:type="spellEnd"/>
      <w:r w:rsidRPr="00B7008C">
        <w:rPr>
          <w:rFonts w:ascii="Times New Roman" w:hAnsi="Times New Roman" w:cs="Times New Roman"/>
        </w:rPr>
        <w:t xml:space="preserve"> and </w:t>
      </w:r>
      <w:proofErr w:type="spellStart"/>
      <w:r w:rsidRPr="00B7008C">
        <w:rPr>
          <w:rFonts w:ascii="Times New Roman" w:hAnsi="Times New Roman" w:cs="Times New Roman"/>
        </w:rPr>
        <w:t>limma-voom</w:t>
      </w:r>
      <w:proofErr w:type="spellEnd"/>
      <w:r w:rsidRPr="00B7008C">
        <w:rPr>
          <w:rFonts w:ascii="Times New Roman" w:hAnsi="Times New Roman" w:cs="Times New Roman"/>
        </w:rPr>
        <w:t xml:space="preserve"> on the same raw count matrix. Concordance between the three methods was assessed by identifying genes significant in all three approaches and visualized using a Venn diagram.</w:t>
      </w:r>
    </w:p>
    <w:p w14:paraId="77766D6D" w14:textId="77777777" w:rsidR="0056499F" w:rsidRPr="00B7008C" w:rsidRDefault="0056499F">
      <w:pPr>
        <w:spacing w:before="60" w:after="60"/>
        <w:rPr>
          <w:rFonts w:ascii="Times New Roman" w:hAnsi="Times New Roman" w:cs="Times New Roman"/>
        </w:rPr>
      </w:pPr>
    </w:p>
    <w:p w14:paraId="1550F792"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2.9 Machine Learning Classification</w:t>
      </w:r>
    </w:p>
    <w:p w14:paraId="5E365103"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lastRenderedPageBreak/>
        <w:t>Two classification algorithms were evaluated using the caret package: Random Forest and Support Vector Machine with Radial Basis kernel. Both models were trained using 5-fold cross-validation with ROC as the optimization metric. Model performance was evaluated using AUC, accuracy, sensitivity, and specificity.</w:t>
      </w:r>
    </w:p>
    <w:p w14:paraId="64CECA09" w14:textId="77777777" w:rsidR="0056499F" w:rsidRPr="00B7008C" w:rsidRDefault="0056499F">
      <w:pPr>
        <w:spacing w:before="60" w:after="60"/>
        <w:rPr>
          <w:rFonts w:ascii="Times New Roman" w:hAnsi="Times New Roman" w:cs="Times New Roman"/>
        </w:rPr>
      </w:pPr>
    </w:p>
    <w:p w14:paraId="171E2D3D" w14:textId="33585EFB" w:rsidR="0056499F" w:rsidRPr="00B7008C" w:rsidRDefault="00000000" w:rsidP="00B7008C">
      <w:pPr>
        <w:rPr>
          <w:rFonts w:ascii="Times New Roman" w:hAnsi="Times New Roman" w:cs="Times New Roman"/>
        </w:rPr>
      </w:pPr>
      <w:r w:rsidRPr="00B7008C">
        <w:rPr>
          <w:rFonts w:ascii="Times New Roman" w:hAnsi="Times New Roman" w:cs="Times New Roman"/>
          <w:b/>
          <w:bCs/>
          <w:color w:val="1F4E79"/>
          <w:sz w:val="32"/>
          <w:szCs w:val="32"/>
        </w:rPr>
        <w:t>3. Results</w:t>
      </w:r>
    </w:p>
    <w:p w14:paraId="7BBA28D7"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3.1 Differentially Expressed Genes</w:t>
      </w:r>
    </w:p>
    <w:p w14:paraId="2FBDBC57"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Differential expression analysis using DESeq2 identified a total of 4,522 significantly differentially expressed genes between COVID-19 patients and healthy controls. The volcano plot demonstrated a distinct separation between upregulated and downregulated genes, with several genes showing both high statistical significance and large fold changes.</w:t>
      </w:r>
    </w:p>
    <w:p w14:paraId="1CEF0F61" w14:textId="77777777" w:rsidR="0056499F" w:rsidRPr="00B7008C" w:rsidRDefault="0056499F">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6499F" w:rsidRPr="00B7008C" w14:paraId="334A220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2DB171"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FCEE2D"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Value</w:t>
            </w:r>
          </w:p>
        </w:tc>
      </w:tr>
      <w:tr w:rsidR="0056499F" w:rsidRPr="00B7008C" w14:paraId="0D44084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08D6D7"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Total significant DEGs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6BD9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4,522</w:t>
            </w:r>
          </w:p>
        </w:tc>
      </w:tr>
      <w:tr w:rsidR="0056499F" w:rsidRPr="00B7008C" w14:paraId="4F46BDC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E24BF"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Upregulated genes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4798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Subset of 4,522</w:t>
            </w:r>
          </w:p>
        </w:tc>
      </w:tr>
      <w:tr w:rsidR="0056499F" w:rsidRPr="00B7008C" w14:paraId="0C23274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EA782B"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Downregulated genes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0FF69"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Subset of 4,522</w:t>
            </w:r>
          </w:p>
        </w:tc>
      </w:tr>
      <w:tr w:rsidR="0056499F" w:rsidRPr="00B7008C" w14:paraId="54BC48A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78BBD"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Adjusted p-value cutoff</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B88A"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&lt; 0.05</w:t>
            </w:r>
          </w:p>
        </w:tc>
      </w:tr>
      <w:tr w:rsidR="0056499F" w:rsidRPr="00B7008C" w14:paraId="6D5B346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3CAD59"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|log2FC| cutoff</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D31861"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&gt;= 1</w:t>
            </w:r>
          </w:p>
        </w:tc>
      </w:tr>
    </w:tbl>
    <w:p w14:paraId="5EF6344C" w14:textId="77777777" w:rsidR="0056499F" w:rsidRPr="00B7008C" w:rsidRDefault="0056499F">
      <w:pPr>
        <w:spacing w:before="60" w:after="60"/>
        <w:rPr>
          <w:rFonts w:ascii="Times New Roman" w:hAnsi="Times New Roman" w:cs="Times New Roman"/>
        </w:rPr>
      </w:pPr>
    </w:p>
    <w:p w14:paraId="26414292"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3.2 WGCNA Module Detection</w:t>
      </w:r>
    </w:p>
    <w:p w14:paraId="30A3914A"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Weighted Gene Co-expression Network Analysis was performed on the top 5,000 most variable genes across 34 samples. A soft thresholding power of 9 was selected achieving a model fit of R2 &gt;= 0.90. Network construction identified 16 distinct co-expression modules ranging in size from 46 to 1,040 genes. The turquoise module exhibited the strongest positive correlation with COVID-19 condition, yielding 350 hub genes based on MM &gt; 0.8 and GS &gt; 0.2 criteria.</w:t>
      </w:r>
    </w:p>
    <w:p w14:paraId="0E098AD8" w14:textId="77777777" w:rsidR="0056499F" w:rsidRPr="00B7008C" w:rsidRDefault="0056499F">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6499F" w:rsidRPr="00B7008C" w14:paraId="542AF8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203479"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Module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89BBAF"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Gene Count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F1E51F"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Trait Correlation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EF80BF"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Selected</w:t>
            </w:r>
          </w:p>
        </w:tc>
      </w:tr>
      <w:tr w:rsidR="0056499F" w:rsidRPr="00B7008C" w14:paraId="0D97F9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99864"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Turquoise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77FBF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1,040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09D8B9"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Strongest Positive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BE835"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Yes</w:t>
            </w:r>
          </w:p>
        </w:tc>
      </w:tr>
      <w:tr w:rsidR="0056499F" w:rsidRPr="00B7008C" w14:paraId="594A94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EBE24"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Yellow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1248C"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539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3F4E9"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Positive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777C5"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No</w:t>
            </w:r>
          </w:p>
        </w:tc>
      </w:tr>
      <w:tr w:rsidR="0056499F" w:rsidRPr="00B7008C" w14:paraId="43261C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2983EE"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Blue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B70F63"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670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D61F3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Moderate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810B7"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No</w:t>
            </w:r>
          </w:p>
        </w:tc>
      </w:tr>
      <w:tr w:rsidR="0056499F" w:rsidRPr="00B7008C" w14:paraId="7C1AB3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D8FA2"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Brown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C0CF3"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629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98A9D"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Negative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775AF"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No</w:t>
            </w:r>
          </w:p>
        </w:tc>
      </w:tr>
      <w:tr w:rsidR="0056499F" w:rsidRPr="00B7008C" w14:paraId="13AD05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70E1FE"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Green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AA65D"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456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ED1680"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Moderate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8508BD"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No</w:t>
            </w:r>
          </w:p>
        </w:tc>
      </w:tr>
    </w:tbl>
    <w:p w14:paraId="6FAAFEAE" w14:textId="77777777" w:rsidR="0056499F" w:rsidRPr="00B7008C" w:rsidRDefault="0056499F">
      <w:pPr>
        <w:spacing w:before="60" w:after="60"/>
        <w:rPr>
          <w:rFonts w:ascii="Times New Roman" w:hAnsi="Times New Roman" w:cs="Times New Roman"/>
        </w:rPr>
      </w:pPr>
    </w:p>
    <w:p w14:paraId="0DF959CB"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3.3 PPI Network and Hub Gene Identification</w:t>
      </w:r>
    </w:p>
    <w:p w14:paraId="31F66889"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 xml:space="preserve">The intersection of 4,522 significant DEGs with 350 WGCNA hub genes yielded 297 candidate proteins. The STRING network comprised 194 nodes and 6,705 interactions at medium confidence. </w:t>
      </w:r>
      <w:proofErr w:type="spellStart"/>
      <w:r w:rsidRPr="00B7008C">
        <w:rPr>
          <w:rFonts w:ascii="Times New Roman" w:hAnsi="Times New Roman" w:cs="Times New Roman"/>
        </w:rPr>
        <w:t>CytoHubba</w:t>
      </w:r>
      <w:proofErr w:type="spellEnd"/>
      <w:r w:rsidRPr="00B7008C">
        <w:rPr>
          <w:rFonts w:ascii="Times New Roman" w:hAnsi="Times New Roman" w:cs="Times New Roman"/>
        </w:rPr>
        <w:t xml:space="preserve"> MCC algorithm identified the following top 10 hub genes:</w:t>
      </w:r>
    </w:p>
    <w:p w14:paraId="5515148E" w14:textId="77777777" w:rsidR="0056499F" w:rsidRPr="00B7008C" w:rsidRDefault="0056499F">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404"/>
        <w:gridCol w:w="7020"/>
      </w:tblGrid>
      <w:tr w:rsidR="0056499F" w:rsidRPr="00B7008C" w14:paraId="754CA45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C25BB0"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Rank</w:t>
            </w:r>
          </w:p>
        </w:tc>
        <w:tc>
          <w:tcPr>
            <w:tcW w:w="14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442915"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Gene</w:t>
            </w:r>
          </w:p>
        </w:tc>
        <w:tc>
          <w:tcPr>
            <w:tcW w:w="7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E8E2AC"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Biological Function</w:t>
            </w:r>
          </w:p>
        </w:tc>
      </w:tr>
      <w:tr w:rsidR="0056499F" w:rsidRPr="00B7008C" w14:paraId="56FFBC3C"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A99B8"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F7ED28"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CDC45</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51CBAE"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DNA replication initiation — CMG helicase complex</w:t>
            </w:r>
          </w:p>
        </w:tc>
      </w:tr>
      <w:tr w:rsidR="0056499F" w:rsidRPr="00B7008C" w14:paraId="55BAA709"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52FED"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C60AE"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SPAG5</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5B4EC"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Mitotic spindle organization and cell division</w:t>
            </w:r>
          </w:p>
        </w:tc>
      </w:tr>
      <w:tr w:rsidR="0056499F" w:rsidRPr="00B7008C" w14:paraId="2C4BEDE9"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A6F449"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3</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F68390"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TTK</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220CA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Spindle assembly checkpoint kinase (MPS1)</w:t>
            </w:r>
          </w:p>
        </w:tc>
      </w:tr>
      <w:tr w:rsidR="0056499F" w:rsidRPr="00B7008C" w14:paraId="4F1780C1"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C08F"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221A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CCNA2</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15570"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Cyclin A2 — drives S-phase and mitotic entry</w:t>
            </w:r>
          </w:p>
        </w:tc>
      </w:tr>
      <w:tr w:rsidR="0056499F" w:rsidRPr="00B7008C" w14:paraId="0F92E04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B34880"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5</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F12EEB"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BIRC5</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A1ADBD"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Apoptosis inhibitor (</w:t>
            </w:r>
            <w:proofErr w:type="spellStart"/>
            <w:r w:rsidRPr="00B7008C">
              <w:rPr>
                <w:rFonts w:ascii="Times New Roman" w:hAnsi="Times New Roman" w:cs="Times New Roman"/>
                <w:sz w:val="20"/>
                <w:szCs w:val="20"/>
              </w:rPr>
              <w:t>Survivin</w:t>
            </w:r>
            <w:proofErr w:type="spellEnd"/>
            <w:r w:rsidRPr="00B7008C">
              <w:rPr>
                <w:rFonts w:ascii="Times New Roman" w:hAnsi="Times New Roman" w:cs="Times New Roman"/>
                <w:sz w:val="20"/>
                <w:szCs w:val="20"/>
              </w:rPr>
              <w:t>) — anti-cell death</w:t>
            </w:r>
          </w:p>
        </w:tc>
      </w:tr>
      <w:tr w:rsidR="0056499F" w:rsidRPr="00B7008C" w14:paraId="4EC12A3D"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23174"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FE1B8"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BUB1B</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31AA0"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Mitotic checkpoint complex — chromosome accuracy</w:t>
            </w:r>
          </w:p>
        </w:tc>
      </w:tr>
      <w:tr w:rsidR="0056499F" w:rsidRPr="00B7008C" w14:paraId="7D2D87D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E5640"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7</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BFCB4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PBK</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5A66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Histone H3 phosphorylation during mitosis</w:t>
            </w:r>
          </w:p>
        </w:tc>
      </w:tr>
      <w:tr w:rsidR="0056499F" w:rsidRPr="00B7008C" w14:paraId="751D647B"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076C1"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A082"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CDK1</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25F42"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Master kinase for G2/M phase transition</w:t>
            </w:r>
          </w:p>
        </w:tc>
      </w:tr>
      <w:tr w:rsidR="0056499F" w:rsidRPr="00B7008C" w14:paraId="4C8797C0"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A4A60B"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9</w:t>
            </w:r>
          </w:p>
        </w:tc>
        <w:tc>
          <w:tcPr>
            <w:tcW w:w="14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82A213"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KIF2C</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90A7F0"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Kinetochore microtubule depolymerization</w:t>
            </w:r>
          </w:p>
        </w:tc>
      </w:tr>
      <w:tr w:rsidR="0056499F" w:rsidRPr="00B7008C" w14:paraId="5EAEA7F1"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57A5E"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10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424EB"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MELK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90AC2"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Cell cycle kinase — immune cell proliferation</w:t>
            </w:r>
          </w:p>
        </w:tc>
      </w:tr>
    </w:tbl>
    <w:p w14:paraId="6D6DAA7B" w14:textId="77777777" w:rsidR="0056499F" w:rsidRPr="00B7008C" w:rsidRDefault="0056499F">
      <w:pPr>
        <w:spacing w:before="60" w:after="60"/>
        <w:rPr>
          <w:rFonts w:ascii="Times New Roman" w:hAnsi="Times New Roman" w:cs="Times New Roman"/>
        </w:rPr>
      </w:pPr>
    </w:p>
    <w:p w14:paraId="23321A09"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3.4 Functional Enrichment Analysis</w:t>
      </w:r>
    </w:p>
    <w:p w14:paraId="541D8DBB" w14:textId="77777777" w:rsidR="0056499F" w:rsidRPr="00B7008C" w:rsidRDefault="00000000">
      <w:pPr>
        <w:pStyle w:val="Heading3"/>
        <w:rPr>
          <w:rFonts w:ascii="Times New Roman" w:hAnsi="Times New Roman" w:cs="Times New Roman"/>
        </w:rPr>
      </w:pPr>
      <w:r w:rsidRPr="00B7008C">
        <w:rPr>
          <w:rFonts w:ascii="Times New Roman" w:hAnsi="Times New Roman" w:cs="Times New Roman"/>
        </w:rPr>
        <w:t>GO Enrichment — Top Biological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56499F" w:rsidRPr="00B7008C" w14:paraId="776FE3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D31D32"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GO Term</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13CDF9"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Gene Ratio</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D195E3" w14:textId="77777777" w:rsidR="0056499F" w:rsidRPr="00B7008C" w:rsidRDefault="00000000">
            <w:pPr>
              <w:jc w:val="center"/>
              <w:rPr>
                <w:rFonts w:ascii="Times New Roman" w:hAnsi="Times New Roman" w:cs="Times New Roman"/>
              </w:rPr>
            </w:pPr>
            <w:proofErr w:type="spellStart"/>
            <w:proofErr w:type="gramStart"/>
            <w:r w:rsidRPr="00B7008C">
              <w:rPr>
                <w:rFonts w:ascii="Times New Roman" w:hAnsi="Times New Roman" w:cs="Times New Roman"/>
                <w:b/>
                <w:bCs/>
                <w:color w:val="FFFFFF"/>
                <w:sz w:val="20"/>
                <w:szCs w:val="20"/>
              </w:rPr>
              <w:t>p.adjust</w:t>
            </w:r>
            <w:proofErr w:type="spellEnd"/>
            <w:proofErr w:type="gramEnd"/>
          </w:p>
        </w:tc>
      </w:tr>
      <w:tr w:rsidR="0056499F" w:rsidRPr="00B7008C" w14:paraId="4E0FFD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74D51F"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Mitotic sister chromatid segregation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20B7F1"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0.60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D5C6F"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~1x10-7</w:t>
            </w:r>
          </w:p>
        </w:tc>
      </w:tr>
      <w:tr w:rsidR="0056499F" w:rsidRPr="00B7008C" w14:paraId="517A08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BFF80"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Sister chromatid segregation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5AC03"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4D91D"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~1x10-7</w:t>
            </w:r>
          </w:p>
        </w:tc>
      </w:tr>
      <w:tr w:rsidR="0056499F" w:rsidRPr="00B7008C" w14:paraId="22D535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995E20"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Mitotic nuclear division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BCC40D"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0.58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B9D2B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~1x10-7</w:t>
            </w:r>
          </w:p>
        </w:tc>
      </w:tr>
      <w:tr w:rsidR="0056499F" w:rsidRPr="00B7008C" w14:paraId="64F8E7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42900"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Nuclear chromosome segregation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5C20F"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2AA37"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~1x10-7</w:t>
            </w:r>
          </w:p>
        </w:tc>
      </w:tr>
      <w:tr w:rsidR="0056499F" w:rsidRPr="00B7008C" w14:paraId="6720A1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E86685"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 xml:space="preserve">Cell cycle checkpoint </w:t>
            </w:r>
            <w:proofErr w:type="spellStart"/>
            <w:r w:rsidRPr="00B7008C">
              <w:rPr>
                <w:rFonts w:ascii="Times New Roman" w:hAnsi="Times New Roman" w:cs="Times New Roman"/>
                <w:sz w:val="20"/>
                <w:szCs w:val="20"/>
              </w:rPr>
              <w:t>signaling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B1CA17"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A2C307"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~1x10-7</w:t>
            </w:r>
          </w:p>
        </w:tc>
      </w:tr>
      <w:tr w:rsidR="0056499F" w:rsidRPr="00B7008C" w14:paraId="0AEC99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F39BC"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Chromosome segregation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6CAF3"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48419"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~1x10-7</w:t>
            </w:r>
          </w:p>
        </w:tc>
      </w:tr>
    </w:tbl>
    <w:p w14:paraId="31C15612" w14:textId="77777777" w:rsidR="0056499F" w:rsidRPr="00B7008C" w:rsidRDefault="0056499F">
      <w:pPr>
        <w:spacing w:before="60" w:after="60"/>
        <w:rPr>
          <w:rFonts w:ascii="Times New Roman" w:hAnsi="Times New Roman" w:cs="Times New Roman"/>
        </w:rPr>
      </w:pPr>
    </w:p>
    <w:p w14:paraId="610FAE21" w14:textId="77777777" w:rsidR="0056499F" w:rsidRPr="00B7008C" w:rsidRDefault="00000000">
      <w:pPr>
        <w:pStyle w:val="Heading3"/>
        <w:rPr>
          <w:rFonts w:ascii="Times New Roman" w:hAnsi="Times New Roman" w:cs="Times New Roman"/>
        </w:rPr>
      </w:pPr>
      <w:r w:rsidRPr="00B7008C">
        <w:rPr>
          <w:rFonts w:ascii="Times New Roman" w:hAnsi="Times New Roman" w:cs="Times New Roman"/>
        </w:rPr>
        <w:t>KEGG Pathway Enrichment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15"/>
        <w:gridCol w:w="1715"/>
        <w:gridCol w:w="2430"/>
      </w:tblGrid>
      <w:tr w:rsidR="0056499F" w:rsidRPr="00B7008C" w14:paraId="61EF05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980DAB"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Pathway</w:t>
            </w:r>
          </w:p>
        </w:tc>
        <w:tc>
          <w:tcPr>
            <w:tcW w:w="171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511F41"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Gene Ratio</w:t>
            </w:r>
          </w:p>
        </w:tc>
        <w:tc>
          <w:tcPr>
            <w:tcW w:w="171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28DB0E" w14:textId="77777777" w:rsidR="0056499F" w:rsidRPr="00B7008C" w:rsidRDefault="00000000">
            <w:pPr>
              <w:jc w:val="center"/>
              <w:rPr>
                <w:rFonts w:ascii="Times New Roman" w:hAnsi="Times New Roman" w:cs="Times New Roman"/>
              </w:rPr>
            </w:pPr>
            <w:proofErr w:type="spellStart"/>
            <w:proofErr w:type="gramStart"/>
            <w:r w:rsidRPr="00B7008C">
              <w:rPr>
                <w:rFonts w:ascii="Times New Roman" w:hAnsi="Times New Roman" w:cs="Times New Roman"/>
                <w:b/>
                <w:bCs/>
                <w:color w:val="FFFFFF"/>
                <w:sz w:val="20"/>
                <w:szCs w:val="20"/>
              </w:rPr>
              <w:t>p.adjust</w:t>
            </w:r>
            <w:proofErr w:type="spellEnd"/>
            <w:proofErr w:type="gramEnd"/>
          </w:p>
        </w:tc>
        <w:tc>
          <w:tcPr>
            <w:tcW w:w="2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864C8"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Genes Mapped</w:t>
            </w:r>
          </w:p>
        </w:tc>
      </w:tr>
      <w:tr w:rsidR="0056499F" w:rsidRPr="00B7008C" w14:paraId="6F314C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A2A17D"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Cell Cycle (hsa04110)</w:t>
            </w:r>
          </w:p>
        </w:tc>
        <w:tc>
          <w:tcPr>
            <w:tcW w:w="171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A0E5A"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0.70</w:t>
            </w:r>
          </w:p>
        </w:tc>
        <w:tc>
          <w:tcPr>
            <w:tcW w:w="171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A579A7"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~1x10-6</w:t>
            </w:r>
          </w:p>
        </w:tc>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389ECF"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7 of 10</w:t>
            </w:r>
          </w:p>
        </w:tc>
      </w:tr>
      <w:tr w:rsidR="0056499F" w:rsidRPr="00B7008C" w14:paraId="6583EC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35C2"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lastRenderedPageBreak/>
              <w:t>Cellular Senescence</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04333"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0.28</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EA85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&lt; 0.05</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CB68C"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2 of 10</w:t>
            </w:r>
          </w:p>
        </w:tc>
      </w:tr>
      <w:tr w:rsidR="0056499F" w:rsidRPr="00B7008C" w14:paraId="39236B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23C8B0"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Viral Carcinogenesis</w:t>
            </w:r>
          </w:p>
        </w:tc>
        <w:tc>
          <w:tcPr>
            <w:tcW w:w="171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D6C3F5"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0.28</w:t>
            </w:r>
          </w:p>
        </w:tc>
        <w:tc>
          <w:tcPr>
            <w:tcW w:w="171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8546F"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&lt; 0.05</w:t>
            </w:r>
          </w:p>
        </w:tc>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C1CA3"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2 of 10</w:t>
            </w:r>
          </w:p>
        </w:tc>
      </w:tr>
      <w:tr w:rsidR="0056499F" w:rsidRPr="00B7008C" w14:paraId="1E7067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ADE4E"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Hepatitis B</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F1979"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0.28</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1073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&lt; 0.05</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E445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2 of 10</w:t>
            </w:r>
          </w:p>
        </w:tc>
      </w:tr>
    </w:tbl>
    <w:p w14:paraId="592DD5A1" w14:textId="77777777" w:rsidR="0056499F" w:rsidRPr="00B7008C" w:rsidRDefault="0056499F">
      <w:pPr>
        <w:spacing w:before="60" w:after="60"/>
        <w:rPr>
          <w:rFonts w:ascii="Times New Roman" w:hAnsi="Times New Roman" w:cs="Times New Roman"/>
        </w:rPr>
      </w:pPr>
    </w:p>
    <w:p w14:paraId="4E696A03"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3.5 Clinical Severity Correlation</w:t>
      </w:r>
    </w:p>
    <w:p w14:paraId="3D14DDD7"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Hub gene expression showed a statistically significant progressive increase with disease severity. Kruskal-</w:t>
      </w:r>
      <w:proofErr w:type="gramStart"/>
      <w:r w:rsidRPr="00B7008C">
        <w:rPr>
          <w:rFonts w:ascii="Times New Roman" w:hAnsi="Times New Roman" w:cs="Times New Roman"/>
        </w:rPr>
        <w:t>Wallis</w:t>
      </w:r>
      <w:proofErr w:type="gramEnd"/>
      <w:r w:rsidRPr="00B7008C">
        <w:rPr>
          <w:rFonts w:ascii="Times New Roman" w:hAnsi="Times New Roman" w:cs="Times New Roman"/>
        </w:rPr>
        <w:t xml:space="preserve"> testing confirmed significant differences across severity groups (p &lt; 0.05) for multiple hub genes.</w:t>
      </w:r>
    </w:p>
    <w:p w14:paraId="648F5865" w14:textId="77777777" w:rsidR="0056499F" w:rsidRPr="00B7008C" w:rsidRDefault="0056499F">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499F" w:rsidRPr="00B7008C" w14:paraId="0CD851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3F0BFB"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Severity Group</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BB8E9A"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Hub Gene Expression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5A6B6F"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Significance</w:t>
            </w:r>
          </w:p>
        </w:tc>
      </w:tr>
      <w:tr w:rsidR="0056499F" w:rsidRPr="00B7008C" w14:paraId="50BAA1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C3FC39"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Healthy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B004A1"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Lowest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AE59E0"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Reference</w:t>
            </w:r>
          </w:p>
        </w:tc>
      </w:tr>
      <w:tr w:rsidR="0056499F" w:rsidRPr="00B7008C" w14:paraId="58E86F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244AE"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Moderate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17BE2"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Elevated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A818B"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p &lt; 0.05</w:t>
            </w:r>
          </w:p>
        </w:tc>
      </w:tr>
      <w:tr w:rsidR="0056499F" w:rsidRPr="00B7008C" w14:paraId="4A44B4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08E405"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Severe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209212"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Higher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9098DA"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p &lt; 0.05</w:t>
            </w:r>
          </w:p>
        </w:tc>
      </w:tr>
      <w:tr w:rsidR="0056499F" w:rsidRPr="00B7008C" w14:paraId="01C308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2E26D"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ICU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54A2F"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Highest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BDE11"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p &lt; 0.05</w:t>
            </w:r>
          </w:p>
        </w:tc>
      </w:tr>
      <w:tr w:rsidR="0056499F" w:rsidRPr="00B7008C" w14:paraId="4CB42E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324CD1"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Convalescent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B9BCD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Intermediate (recovering)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DE5C2"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Partial normalization</w:t>
            </w:r>
          </w:p>
        </w:tc>
      </w:tr>
    </w:tbl>
    <w:p w14:paraId="37568142" w14:textId="77777777" w:rsidR="0056499F" w:rsidRPr="00B7008C" w:rsidRDefault="0056499F">
      <w:pPr>
        <w:spacing w:before="60" w:after="60"/>
        <w:rPr>
          <w:rFonts w:ascii="Times New Roman" w:hAnsi="Times New Roman" w:cs="Times New Roman"/>
        </w:rPr>
      </w:pPr>
    </w:p>
    <w:p w14:paraId="0CA99C18"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3.6 Cross-Disease Comparison</w:t>
      </w:r>
    </w:p>
    <w:p w14:paraId="61D5F366"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Hub gene expression was compared across COVID-19, Influenza (GSE111368), and RSV (GSE34205). All 6 common hub genes showed significantly higher expression in COVID-19 compared to both Influenza and RSV (Kruskal-Wallis p ~ 0).</w:t>
      </w:r>
    </w:p>
    <w:p w14:paraId="67E7701C" w14:textId="77777777" w:rsidR="0056499F" w:rsidRPr="00B7008C" w:rsidRDefault="0056499F">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000"/>
        <w:gridCol w:w="3020"/>
      </w:tblGrid>
      <w:tr w:rsidR="0056499F" w:rsidRPr="00B7008C" w14:paraId="5D22B9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C4DD21"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Disease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641799"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Hub Gene Expression Level</w:t>
            </w:r>
          </w:p>
        </w:tc>
        <w:tc>
          <w:tcPr>
            <w:tcW w:w="3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EA35E7"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vs COVID-19</w:t>
            </w:r>
          </w:p>
        </w:tc>
      </w:tr>
      <w:tr w:rsidR="0056499F" w:rsidRPr="00B7008C" w14:paraId="0049EE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2DBB1E"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COVID-19</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702652"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Highest — all 6 hub genes</w:t>
            </w:r>
          </w:p>
        </w:tc>
        <w:tc>
          <w:tcPr>
            <w:tcW w:w="3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7AE903"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Reference</w:t>
            </w:r>
          </w:p>
        </w:tc>
      </w:tr>
      <w:tr w:rsidR="0056499F" w:rsidRPr="00B7008C" w14:paraId="4B45BB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D8FDC"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Influenza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4B46D"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Moderate</w:t>
            </w:r>
          </w:p>
        </w:tc>
        <w:tc>
          <w:tcPr>
            <w:tcW w:w="3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AA918"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Significantly lower (p~0)</w:t>
            </w:r>
          </w:p>
        </w:tc>
      </w:tr>
      <w:tr w:rsidR="0056499F" w:rsidRPr="00B7008C" w14:paraId="7D0DA6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498A37"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RSV</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4835C7"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Low</w:t>
            </w:r>
          </w:p>
        </w:tc>
        <w:tc>
          <w:tcPr>
            <w:tcW w:w="3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43C5F3"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Significantly lower (p~0)</w:t>
            </w:r>
          </w:p>
        </w:tc>
      </w:tr>
      <w:tr w:rsidR="0056499F" w:rsidRPr="00B7008C" w14:paraId="6B4C2B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F81C2"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Healthy (Control)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1AA4C"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Baseline</w:t>
            </w:r>
          </w:p>
        </w:tc>
        <w:tc>
          <w:tcPr>
            <w:tcW w:w="3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EEFA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Significantly lower (p~0)</w:t>
            </w:r>
          </w:p>
        </w:tc>
      </w:tr>
    </w:tbl>
    <w:p w14:paraId="6436BE3C" w14:textId="77777777" w:rsidR="0056499F" w:rsidRPr="00B7008C" w:rsidRDefault="0056499F">
      <w:pPr>
        <w:spacing w:before="60" w:after="60"/>
        <w:rPr>
          <w:rFonts w:ascii="Times New Roman" w:hAnsi="Times New Roman" w:cs="Times New Roman"/>
        </w:rPr>
      </w:pPr>
    </w:p>
    <w:p w14:paraId="232CF637"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3.7 Validation of DESeq2 Findings</w:t>
      </w:r>
    </w:p>
    <w:p w14:paraId="0EEE5D79"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 xml:space="preserve">Parallel analyses using </w:t>
      </w:r>
      <w:proofErr w:type="spellStart"/>
      <w:r w:rsidRPr="00B7008C">
        <w:rPr>
          <w:rFonts w:ascii="Times New Roman" w:hAnsi="Times New Roman" w:cs="Times New Roman"/>
        </w:rPr>
        <w:t>edgeR</w:t>
      </w:r>
      <w:proofErr w:type="spellEnd"/>
      <w:r w:rsidRPr="00B7008C">
        <w:rPr>
          <w:rFonts w:ascii="Times New Roman" w:hAnsi="Times New Roman" w:cs="Times New Roman"/>
        </w:rPr>
        <w:t xml:space="preserve"> and </w:t>
      </w:r>
      <w:proofErr w:type="spellStart"/>
      <w:r w:rsidRPr="00B7008C">
        <w:rPr>
          <w:rFonts w:ascii="Times New Roman" w:hAnsi="Times New Roman" w:cs="Times New Roman"/>
        </w:rPr>
        <w:t>limma-voom</w:t>
      </w:r>
      <w:proofErr w:type="spellEnd"/>
      <w:r w:rsidRPr="00B7008C">
        <w:rPr>
          <w:rFonts w:ascii="Times New Roman" w:hAnsi="Times New Roman" w:cs="Times New Roman"/>
        </w:rPr>
        <w:t xml:space="preserve"> confirmed the robustness of DESeq2 findings.</w:t>
      </w:r>
    </w:p>
    <w:p w14:paraId="698494FD" w14:textId="77777777" w:rsidR="0056499F" w:rsidRPr="00B7008C" w:rsidRDefault="0056499F">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56499F" w:rsidRPr="00B7008C" w14:paraId="4B8E4F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54AA4B"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15C6CE"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Significant DEGs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789239"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Concordance</w:t>
            </w:r>
          </w:p>
        </w:tc>
      </w:tr>
      <w:tr w:rsidR="0056499F" w:rsidRPr="00B7008C" w14:paraId="37FDF5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99378E"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lastRenderedPageBreak/>
              <w:t>DESeq2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F51D9F"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4,322</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7E5132"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Primary analysis</w:t>
            </w:r>
          </w:p>
        </w:tc>
      </w:tr>
      <w:tr w:rsidR="0056499F" w:rsidRPr="00B7008C" w14:paraId="0114B1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7F50D" w14:textId="77777777" w:rsidR="0056499F" w:rsidRPr="00B7008C" w:rsidRDefault="00000000">
            <w:pPr>
              <w:rPr>
                <w:rFonts w:ascii="Times New Roman" w:hAnsi="Times New Roman" w:cs="Times New Roman"/>
              </w:rPr>
            </w:pPr>
            <w:proofErr w:type="spellStart"/>
            <w:r w:rsidRPr="00B7008C">
              <w:rPr>
                <w:rFonts w:ascii="Times New Roman" w:hAnsi="Times New Roman" w:cs="Times New Roman"/>
                <w:sz w:val="20"/>
                <w:szCs w:val="20"/>
              </w:rPr>
              <w:t>edgeR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B47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1,754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EA4E"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High fold change correlation (r &gt; 0.95)</w:t>
            </w:r>
          </w:p>
        </w:tc>
      </w:tr>
      <w:tr w:rsidR="0056499F" w:rsidRPr="00B7008C" w14:paraId="07DDE3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CCB7D" w14:textId="77777777" w:rsidR="0056499F" w:rsidRPr="00B7008C" w:rsidRDefault="00000000">
            <w:pPr>
              <w:rPr>
                <w:rFonts w:ascii="Times New Roman" w:hAnsi="Times New Roman" w:cs="Times New Roman"/>
              </w:rPr>
            </w:pPr>
            <w:proofErr w:type="spellStart"/>
            <w:r w:rsidRPr="00B7008C">
              <w:rPr>
                <w:rFonts w:ascii="Times New Roman" w:hAnsi="Times New Roman" w:cs="Times New Roman"/>
                <w:sz w:val="20"/>
                <w:szCs w:val="20"/>
              </w:rPr>
              <w:t>limma-voom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473CA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1,525</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E8128"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High fold change correlation (r &gt; 0.95)</w:t>
            </w:r>
          </w:p>
        </w:tc>
      </w:tr>
      <w:tr w:rsidR="0056499F" w:rsidRPr="00B7008C" w14:paraId="112FFC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71F47"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All 3 methods (concordant)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7E188"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1,354 (29.9%)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3BFBF"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High confidence set</w:t>
            </w:r>
          </w:p>
        </w:tc>
      </w:tr>
    </w:tbl>
    <w:p w14:paraId="78E62EDA" w14:textId="77777777" w:rsidR="0056499F" w:rsidRPr="00B7008C" w:rsidRDefault="0056499F">
      <w:pPr>
        <w:spacing w:before="60" w:after="60"/>
        <w:rPr>
          <w:rFonts w:ascii="Times New Roman" w:hAnsi="Times New Roman" w:cs="Times New Roman"/>
        </w:rPr>
      </w:pPr>
    </w:p>
    <w:p w14:paraId="31A06C1D"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3.8 Machine Learning Classification</w:t>
      </w:r>
    </w:p>
    <w:p w14:paraId="72606561"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 xml:space="preserve">Random Forest and SVM classifiers were trained on the </w:t>
      </w:r>
      <w:proofErr w:type="gramStart"/>
      <w:r w:rsidRPr="00B7008C">
        <w:rPr>
          <w:rFonts w:ascii="Times New Roman" w:hAnsi="Times New Roman" w:cs="Times New Roman"/>
        </w:rPr>
        <w:t>10 hub</w:t>
      </w:r>
      <w:proofErr w:type="gramEnd"/>
      <w:r w:rsidRPr="00B7008C">
        <w:rPr>
          <w:rFonts w:ascii="Times New Roman" w:hAnsi="Times New Roman" w:cs="Times New Roman"/>
        </w:rPr>
        <w:t xml:space="preserve"> gene expression signature to classify COVID-19 vs Healthy samples.</w:t>
      </w:r>
    </w:p>
    <w:p w14:paraId="771E3A10" w14:textId="77777777" w:rsidR="0056499F" w:rsidRPr="00B7008C" w:rsidRDefault="0056499F">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56499F" w:rsidRPr="00B7008C" w14:paraId="679FBC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A67385"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Model</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AA8AF5"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AUC</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A1CA73"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Performance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E05166"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Top Feature</w:t>
            </w:r>
          </w:p>
        </w:tc>
      </w:tr>
      <w:tr w:rsidR="0056499F" w:rsidRPr="00B7008C" w14:paraId="5C3B1B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FD29B0"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Random Forest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353A47"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0.84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97AA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Good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32FBD"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KIF2C (score: 100)</w:t>
            </w:r>
          </w:p>
        </w:tc>
      </w:tr>
      <w:tr w:rsidR="0056499F" w:rsidRPr="00B7008C" w14:paraId="4DB357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A0BB"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SVM (Radial)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E046B"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0.88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C589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Very Good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F328F"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w:t>
            </w:r>
          </w:p>
        </w:tc>
      </w:tr>
    </w:tbl>
    <w:p w14:paraId="741EF239" w14:textId="77777777" w:rsidR="0056499F" w:rsidRPr="00B7008C" w:rsidRDefault="0056499F">
      <w:pPr>
        <w:spacing w:before="60" w:after="60"/>
        <w:rPr>
          <w:rFonts w:ascii="Times New Roman" w:hAnsi="Times New Roman" w:cs="Times New Roman"/>
        </w:rPr>
      </w:pPr>
    </w:p>
    <w:p w14:paraId="623F5B82" w14:textId="77777777" w:rsidR="0056499F" w:rsidRPr="00B7008C" w:rsidRDefault="00000000">
      <w:pPr>
        <w:pStyle w:val="Heading3"/>
        <w:rPr>
          <w:rFonts w:ascii="Times New Roman" w:hAnsi="Times New Roman" w:cs="Times New Roman"/>
        </w:rPr>
      </w:pPr>
      <w:r w:rsidRPr="00B7008C">
        <w:rPr>
          <w:rFonts w:ascii="Times New Roman" w:hAnsi="Times New Roman" w:cs="Times New Roman"/>
        </w:rPr>
        <w:t>Random Forest Feature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56499F" w:rsidRPr="00B7008C" w14:paraId="00CF4DD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A66C29"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Rank</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9023E2"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Gene</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BD576A" w14:textId="77777777" w:rsidR="0056499F" w:rsidRPr="00B7008C" w:rsidRDefault="00000000">
            <w:pPr>
              <w:jc w:val="center"/>
              <w:rPr>
                <w:rFonts w:ascii="Times New Roman" w:hAnsi="Times New Roman" w:cs="Times New Roman"/>
              </w:rPr>
            </w:pPr>
            <w:r w:rsidRPr="00B7008C">
              <w:rPr>
                <w:rFonts w:ascii="Times New Roman" w:hAnsi="Times New Roman" w:cs="Times New Roman"/>
                <w:b/>
                <w:bCs/>
                <w:color w:val="FFFFFF"/>
                <w:sz w:val="20"/>
                <w:szCs w:val="20"/>
              </w:rPr>
              <w:t>Importance Score</w:t>
            </w:r>
          </w:p>
        </w:tc>
      </w:tr>
      <w:tr w:rsidR="0056499F" w:rsidRPr="00B7008C" w14:paraId="5D4DD1A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E9B36E"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1</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54EA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KIF2C</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6BA1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100</w:t>
            </w:r>
          </w:p>
        </w:tc>
      </w:tr>
      <w:tr w:rsidR="0056499F" w:rsidRPr="00B7008C" w14:paraId="5DA054E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1EB70"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2</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1D86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CDC45</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750B7"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87</w:t>
            </w:r>
          </w:p>
        </w:tc>
      </w:tr>
      <w:tr w:rsidR="0056499F" w:rsidRPr="00B7008C" w14:paraId="384B896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5BBEA"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3</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670156"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BUB1B</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B0780"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75</w:t>
            </w:r>
          </w:p>
        </w:tc>
      </w:tr>
      <w:tr w:rsidR="0056499F" w:rsidRPr="00B7008C" w14:paraId="4B1FB5A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1F37A"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4</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673BA"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PBK</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26955"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75</w:t>
            </w:r>
          </w:p>
        </w:tc>
      </w:tr>
      <w:tr w:rsidR="0056499F" w:rsidRPr="00B7008C" w14:paraId="33DF730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887DFE"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5</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564734"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TTK</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F645C5"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68</w:t>
            </w:r>
          </w:p>
        </w:tc>
      </w:tr>
      <w:tr w:rsidR="0056499F" w:rsidRPr="00B7008C" w14:paraId="41924C8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CBE65"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6</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0DCEC"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CCNA2</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7EE00"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66</w:t>
            </w:r>
          </w:p>
        </w:tc>
      </w:tr>
      <w:tr w:rsidR="0056499F" w:rsidRPr="00B7008C" w14:paraId="6A3DE90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8F4DEF"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7</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D90B5"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BIRC5</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954327"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58</w:t>
            </w:r>
          </w:p>
        </w:tc>
      </w:tr>
      <w:tr w:rsidR="0056499F" w:rsidRPr="00B7008C" w14:paraId="15923CC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0FA9E"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8</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B7A21"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MELK</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9320E"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51</w:t>
            </w:r>
          </w:p>
        </w:tc>
      </w:tr>
      <w:tr w:rsidR="0056499F" w:rsidRPr="00B7008C" w14:paraId="5366D31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22ACF"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9</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A1077C"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CDK1</w:t>
            </w:r>
          </w:p>
        </w:tc>
        <w:tc>
          <w:tcPr>
            <w:tcW w:w="3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A91A67"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22</w:t>
            </w:r>
          </w:p>
        </w:tc>
      </w:tr>
      <w:tr w:rsidR="0056499F" w:rsidRPr="00B7008C" w14:paraId="019644E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CBB86" w14:textId="77777777" w:rsidR="0056499F" w:rsidRPr="00B7008C" w:rsidRDefault="00000000">
            <w:pPr>
              <w:rPr>
                <w:rFonts w:ascii="Times New Roman" w:hAnsi="Times New Roman" w:cs="Times New Roman"/>
              </w:rPr>
            </w:pPr>
            <w:r w:rsidRPr="00B7008C">
              <w:rPr>
                <w:rFonts w:ascii="Times New Roman" w:hAnsi="Times New Roman" w:cs="Times New Roman"/>
                <w:sz w:val="20"/>
                <w:szCs w:val="20"/>
              </w:rPr>
              <w:t>10</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2D6ED"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SPAG5</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C145F" w14:textId="77777777" w:rsidR="0056499F" w:rsidRPr="00B7008C" w:rsidRDefault="00000000">
            <w:pPr>
              <w:jc w:val="center"/>
              <w:rPr>
                <w:rFonts w:ascii="Times New Roman" w:hAnsi="Times New Roman" w:cs="Times New Roman"/>
              </w:rPr>
            </w:pPr>
            <w:r w:rsidRPr="00B7008C">
              <w:rPr>
                <w:rFonts w:ascii="Times New Roman" w:hAnsi="Times New Roman" w:cs="Times New Roman"/>
                <w:sz w:val="20"/>
                <w:szCs w:val="20"/>
              </w:rPr>
              <w:t>~0</w:t>
            </w:r>
          </w:p>
        </w:tc>
      </w:tr>
    </w:tbl>
    <w:p w14:paraId="7CDEE55A" w14:textId="77777777" w:rsidR="0056499F" w:rsidRPr="00B7008C" w:rsidRDefault="0056499F">
      <w:pPr>
        <w:spacing w:before="60" w:after="60"/>
        <w:rPr>
          <w:rFonts w:ascii="Times New Roman" w:hAnsi="Times New Roman" w:cs="Times New Roman"/>
        </w:rPr>
      </w:pPr>
    </w:p>
    <w:p w14:paraId="559FC0FB" w14:textId="190E0754" w:rsidR="0056499F" w:rsidRPr="00B7008C" w:rsidRDefault="00000000" w:rsidP="00B7008C">
      <w:pPr>
        <w:rPr>
          <w:rFonts w:ascii="Times New Roman" w:hAnsi="Times New Roman" w:cs="Times New Roman"/>
        </w:rPr>
      </w:pPr>
      <w:r w:rsidRPr="00B7008C">
        <w:rPr>
          <w:rFonts w:ascii="Times New Roman" w:hAnsi="Times New Roman" w:cs="Times New Roman"/>
          <w:b/>
          <w:bCs/>
          <w:color w:val="1F4E79"/>
          <w:sz w:val="32"/>
          <w:szCs w:val="32"/>
        </w:rPr>
        <w:t>4. Discussion</w:t>
      </w:r>
    </w:p>
    <w:p w14:paraId="6CBB3898"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4.1 Cell Cycle Dysregulation as a Central Mechanism</w:t>
      </w:r>
    </w:p>
    <w:p w14:paraId="65771022"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 xml:space="preserve">The most striking finding of this study is the consistent enrichment of cell cycle regulatory genes among the top hub genes identified through PPI network analysis. All 10 hub genes are functionally involved in </w:t>
      </w:r>
      <w:r w:rsidRPr="00B7008C">
        <w:rPr>
          <w:rFonts w:ascii="Times New Roman" w:hAnsi="Times New Roman" w:cs="Times New Roman"/>
        </w:rPr>
        <w:lastRenderedPageBreak/>
        <w:t xml:space="preserve">mitotic cell cycle processes including DNA replication initiation, spindle assembly checkpoint, chromosome segregation, and cytokinesis. GO enrichment analysis confirmed significant enrichment in mitotic sister chromatid segregation, nuclear division, and cell cycle checkpoint </w:t>
      </w:r>
      <w:proofErr w:type="spellStart"/>
      <w:r w:rsidRPr="00B7008C">
        <w:rPr>
          <w:rFonts w:ascii="Times New Roman" w:hAnsi="Times New Roman" w:cs="Times New Roman"/>
        </w:rPr>
        <w:t>signaling</w:t>
      </w:r>
      <w:proofErr w:type="spellEnd"/>
      <w:r w:rsidRPr="00B7008C">
        <w:rPr>
          <w:rFonts w:ascii="Times New Roman" w:hAnsi="Times New Roman" w:cs="Times New Roman"/>
        </w:rPr>
        <w:t>, while KEGG analysis identified the Cell Cycle pathway as the most significantly enriched pathway with a gene ratio of 0.70.</w:t>
      </w:r>
    </w:p>
    <w:p w14:paraId="23B2DE5E" w14:textId="77777777" w:rsidR="0056499F" w:rsidRPr="00B7008C" w:rsidRDefault="0056499F">
      <w:pPr>
        <w:spacing w:before="60" w:after="60"/>
        <w:rPr>
          <w:rFonts w:ascii="Times New Roman" w:hAnsi="Times New Roman" w:cs="Times New Roman"/>
        </w:rPr>
      </w:pPr>
    </w:p>
    <w:p w14:paraId="200972D9"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4.2 Hub Gene Biological Significance</w:t>
      </w:r>
    </w:p>
    <w:p w14:paraId="2587B93D"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Each of the 10 identified hub genes plays a distinct yet interconnected role in cell cycle regulation. CDC45, ranked first by MCC centrality, is an essential component of the CMG helicase complex required for DNA replication initiation. KIF2C, identified as the top machine learning feature, is a kinesin family member responsible for depolymerizing microtubules at kinetochores during chromosome segregation, and its elevated expression suggests enhanced mitotic activity in COVID-19 infected cells.</w:t>
      </w:r>
    </w:p>
    <w:p w14:paraId="62DA1ACC" w14:textId="77777777" w:rsidR="0056499F" w:rsidRPr="00B7008C" w:rsidRDefault="0056499F">
      <w:pPr>
        <w:spacing w:before="60" w:after="60"/>
        <w:rPr>
          <w:rFonts w:ascii="Times New Roman" w:hAnsi="Times New Roman" w:cs="Times New Roman"/>
        </w:rPr>
      </w:pPr>
    </w:p>
    <w:p w14:paraId="6442E271"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4.3 Severity Correlation and Biomarker Potential</w:t>
      </w:r>
    </w:p>
    <w:p w14:paraId="74F5FD30"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The progressive increase in hub gene expression from Healthy to Moderate to Severe to ICU groups represents one of the most clinically significant findings of this study. This dose-response relationship between hub gene expression and disease severity strongly suggests that these genes are active participants in the pathological processes that drive disease progression rather than merely bystander markers of infection.</w:t>
      </w:r>
    </w:p>
    <w:p w14:paraId="1BFF091C" w14:textId="77777777" w:rsidR="0056499F" w:rsidRPr="00B7008C" w:rsidRDefault="0056499F">
      <w:pPr>
        <w:spacing w:before="60" w:after="60"/>
        <w:rPr>
          <w:rFonts w:ascii="Times New Roman" w:hAnsi="Times New Roman" w:cs="Times New Roman"/>
        </w:rPr>
      </w:pPr>
    </w:p>
    <w:p w14:paraId="220D3597"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4.4 COVID-19 Specific Transcriptomic Signature</w:t>
      </w:r>
    </w:p>
    <w:p w14:paraId="6FCDA118"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The cross-disease comparison with Influenza and RSV datasets revealed that COVID-19 samples consistently exhibited significantly higher expression of all six common hub genes. This finding suggests that the identified cell cycle gene signature is not a generic antiviral response but rather a COVID-19 specific transcriptomic phenomenon, pointing to fundamental differences in how SARS-CoV-2 interacts with host cell machinery compared to other respiratory viruses.</w:t>
      </w:r>
    </w:p>
    <w:p w14:paraId="3EA9FB3F" w14:textId="77777777" w:rsidR="0056499F" w:rsidRPr="00B7008C" w:rsidRDefault="0056499F">
      <w:pPr>
        <w:spacing w:before="60" w:after="60"/>
        <w:rPr>
          <w:rFonts w:ascii="Times New Roman" w:hAnsi="Times New Roman" w:cs="Times New Roman"/>
        </w:rPr>
      </w:pPr>
    </w:p>
    <w:p w14:paraId="1A187E86"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4.5 Validation and Methodological Robustness</w:t>
      </w:r>
    </w:p>
    <w:p w14:paraId="38BA9DF7"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 xml:space="preserve">The concordance analysis across DESeq2, </w:t>
      </w:r>
      <w:proofErr w:type="spellStart"/>
      <w:r w:rsidRPr="00B7008C">
        <w:rPr>
          <w:rFonts w:ascii="Times New Roman" w:hAnsi="Times New Roman" w:cs="Times New Roman"/>
        </w:rPr>
        <w:t>edgeR</w:t>
      </w:r>
      <w:proofErr w:type="spellEnd"/>
      <w:r w:rsidRPr="00B7008C">
        <w:rPr>
          <w:rFonts w:ascii="Times New Roman" w:hAnsi="Times New Roman" w:cs="Times New Roman"/>
        </w:rPr>
        <w:t xml:space="preserve">, and </w:t>
      </w:r>
      <w:proofErr w:type="spellStart"/>
      <w:r w:rsidRPr="00B7008C">
        <w:rPr>
          <w:rFonts w:ascii="Times New Roman" w:hAnsi="Times New Roman" w:cs="Times New Roman"/>
        </w:rPr>
        <w:t>limma-voom</w:t>
      </w:r>
      <w:proofErr w:type="spellEnd"/>
      <w:r w:rsidRPr="00B7008C">
        <w:rPr>
          <w:rFonts w:ascii="Times New Roman" w:hAnsi="Times New Roman" w:cs="Times New Roman"/>
        </w:rPr>
        <w:t xml:space="preserve"> provided strong evidence for the reliability of the differential expression findings. The identification of 1,354 genes consistently detected by </w:t>
      </w:r>
      <w:r w:rsidRPr="00B7008C">
        <w:rPr>
          <w:rFonts w:ascii="Times New Roman" w:hAnsi="Times New Roman" w:cs="Times New Roman"/>
        </w:rPr>
        <w:lastRenderedPageBreak/>
        <w:t>all three methods, with Pearson correlation coefficients exceeding 0.95 for log2 fold change values, confirms that the direction and magnitude of differential expression are highly consistent regardless of the statistical framework employed.</w:t>
      </w:r>
    </w:p>
    <w:p w14:paraId="6A4AEAEA" w14:textId="77777777" w:rsidR="0056499F" w:rsidRPr="00B7008C" w:rsidRDefault="0056499F">
      <w:pPr>
        <w:spacing w:before="60" w:after="60"/>
        <w:rPr>
          <w:rFonts w:ascii="Times New Roman" w:hAnsi="Times New Roman" w:cs="Times New Roman"/>
        </w:rPr>
      </w:pPr>
    </w:p>
    <w:p w14:paraId="5722F935"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4.6 Machine Learning and Diagnostic Implications</w:t>
      </w:r>
    </w:p>
    <w:p w14:paraId="73BF5D2A"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The successful classification of COVID-19 patients versus healthy controls using only 10 hub genes, achieving an AUC of 0.88 with SVM, demonstrates the strong discriminatory power of the identified gene signature. These results suggest that the hub gene signature captures the most biologically relevant and discriminatory transcriptomic information from the COVID-19 transcriptome, with KIF2C emerging as the most important discriminating feature.</w:t>
      </w:r>
    </w:p>
    <w:p w14:paraId="0F65F837" w14:textId="77777777" w:rsidR="0056499F" w:rsidRPr="00B7008C" w:rsidRDefault="0056499F">
      <w:pPr>
        <w:spacing w:before="60" w:after="60"/>
        <w:rPr>
          <w:rFonts w:ascii="Times New Roman" w:hAnsi="Times New Roman" w:cs="Times New Roman"/>
        </w:rPr>
      </w:pPr>
    </w:p>
    <w:p w14:paraId="55F01572"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4.7 Limitations</w:t>
      </w:r>
    </w:p>
    <w:p w14:paraId="76738A7B" w14:textId="77777777" w:rsidR="0056499F" w:rsidRPr="00B7008C" w:rsidRDefault="00000000">
      <w:pPr>
        <w:pStyle w:val="ListParagraph"/>
        <w:numPr>
          <w:ilvl w:val="0"/>
          <w:numId w:val="3"/>
        </w:numPr>
        <w:spacing w:before="60" w:after="60" w:line="320" w:lineRule="auto"/>
        <w:rPr>
          <w:rFonts w:ascii="Times New Roman" w:hAnsi="Times New Roman" w:cs="Times New Roman"/>
        </w:rPr>
      </w:pPr>
      <w:r w:rsidRPr="00B7008C">
        <w:rPr>
          <w:rFonts w:ascii="Times New Roman" w:hAnsi="Times New Roman" w:cs="Times New Roman"/>
        </w:rPr>
        <w:t>The analysis was based on a single dataset (GSE152418) with a relatively small sample size of 34 samples.</w:t>
      </w:r>
    </w:p>
    <w:p w14:paraId="4994893E" w14:textId="77777777" w:rsidR="0056499F" w:rsidRPr="00B7008C" w:rsidRDefault="00000000">
      <w:pPr>
        <w:pStyle w:val="ListParagraph"/>
        <w:numPr>
          <w:ilvl w:val="0"/>
          <w:numId w:val="3"/>
        </w:numPr>
        <w:spacing w:before="60" w:after="60" w:line="320" w:lineRule="auto"/>
        <w:rPr>
          <w:rFonts w:ascii="Times New Roman" w:hAnsi="Times New Roman" w:cs="Times New Roman"/>
        </w:rPr>
      </w:pPr>
      <w:r w:rsidRPr="00B7008C">
        <w:rPr>
          <w:rFonts w:ascii="Times New Roman" w:hAnsi="Times New Roman" w:cs="Times New Roman"/>
        </w:rPr>
        <w:t>Cross-disease comparison was performed using different datasets generated on different experimental platforms, introducing potential batch effects.</w:t>
      </w:r>
    </w:p>
    <w:p w14:paraId="6261F367" w14:textId="77777777" w:rsidR="0056499F" w:rsidRPr="00B7008C" w:rsidRDefault="00000000">
      <w:pPr>
        <w:pStyle w:val="ListParagraph"/>
        <w:numPr>
          <w:ilvl w:val="0"/>
          <w:numId w:val="3"/>
        </w:numPr>
        <w:spacing w:before="60" w:after="60" w:line="320" w:lineRule="auto"/>
        <w:rPr>
          <w:rFonts w:ascii="Times New Roman" w:hAnsi="Times New Roman" w:cs="Times New Roman"/>
        </w:rPr>
      </w:pPr>
      <w:r w:rsidRPr="00B7008C">
        <w:rPr>
          <w:rFonts w:ascii="Times New Roman" w:hAnsi="Times New Roman" w:cs="Times New Roman"/>
        </w:rPr>
        <w:t>Machine learning models were trained on a small dataset and require validation in larger independent cohorts.</w:t>
      </w:r>
    </w:p>
    <w:p w14:paraId="62C39520" w14:textId="77777777" w:rsidR="0056499F" w:rsidRPr="00B7008C" w:rsidRDefault="00000000">
      <w:pPr>
        <w:pStyle w:val="ListParagraph"/>
        <w:numPr>
          <w:ilvl w:val="0"/>
          <w:numId w:val="3"/>
        </w:numPr>
        <w:spacing w:before="60" w:after="60" w:line="320" w:lineRule="auto"/>
        <w:rPr>
          <w:rFonts w:ascii="Times New Roman" w:hAnsi="Times New Roman" w:cs="Times New Roman"/>
        </w:rPr>
      </w:pPr>
      <w:r w:rsidRPr="00B7008C">
        <w:rPr>
          <w:rFonts w:ascii="Times New Roman" w:hAnsi="Times New Roman" w:cs="Times New Roman"/>
        </w:rPr>
        <w:t>All findings are based on computational analyses and require experimental validation through wet lab experiments.</w:t>
      </w:r>
    </w:p>
    <w:p w14:paraId="043CDD3F" w14:textId="77777777" w:rsidR="0056499F" w:rsidRPr="00B7008C" w:rsidRDefault="00000000">
      <w:pPr>
        <w:pStyle w:val="ListParagraph"/>
        <w:numPr>
          <w:ilvl w:val="0"/>
          <w:numId w:val="3"/>
        </w:numPr>
        <w:spacing w:before="60" w:after="60" w:line="320" w:lineRule="auto"/>
        <w:rPr>
          <w:rFonts w:ascii="Times New Roman" w:hAnsi="Times New Roman" w:cs="Times New Roman"/>
        </w:rPr>
      </w:pPr>
      <w:r w:rsidRPr="00B7008C">
        <w:rPr>
          <w:rFonts w:ascii="Times New Roman" w:hAnsi="Times New Roman" w:cs="Times New Roman"/>
        </w:rPr>
        <w:t>The study does not account for potential confounding factors such as patient age, sex, and comorbidities.</w:t>
      </w:r>
    </w:p>
    <w:p w14:paraId="2E006D97" w14:textId="77777777" w:rsidR="0056499F" w:rsidRPr="00B7008C" w:rsidRDefault="0056499F">
      <w:pPr>
        <w:spacing w:before="60" w:after="60"/>
        <w:rPr>
          <w:rFonts w:ascii="Times New Roman" w:hAnsi="Times New Roman" w:cs="Times New Roman"/>
        </w:rPr>
      </w:pPr>
    </w:p>
    <w:p w14:paraId="791E5190" w14:textId="73BD4D93" w:rsidR="0056499F" w:rsidRPr="00B7008C" w:rsidRDefault="00000000" w:rsidP="00B7008C">
      <w:pPr>
        <w:rPr>
          <w:rFonts w:ascii="Times New Roman" w:hAnsi="Times New Roman" w:cs="Times New Roman"/>
        </w:rPr>
      </w:pPr>
      <w:r w:rsidRPr="00B7008C">
        <w:rPr>
          <w:rFonts w:ascii="Times New Roman" w:hAnsi="Times New Roman" w:cs="Times New Roman"/>
          <w:b/>
          <w:bCs/>
          <w:color w:val="1F4E79"/>
          <w:sz w:val="32"/>
          <w:szCs w:val="32"/>
        </w:rPr>
        <w:t>5. Conclusion</w:t>
      </w:r>
    </w:p>
    <w:p w14:paraId="1B2BF707"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This study presents a comprehensive bioinformatics investigation of COVID-19 transcriptomics using an integrated multi-step analytical pipeline. Through the systematic application of DESeq2, WGCNA, PPI network analysis, functional enrichment, clinical correlation, cross-disease comparison, multi-method validation, and machine learning classification, a robust 10-gene hub signature was identified and characterized.</w:t>
      </w:r>
    </w:p>
    <w:p w14:paraId="00B088CF" w14:textId="77777777" w:rsidR="0056499F" w:rsidRPr="00B7008C" w:rsidRDefault="0056499F">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499F" w:rsidRPr="00B7008C" w14:paraId="39B43B82" w14:textId="77777777">
        <w:tblPrEx>
          <w:tblCellMar>
            <w:top w:w="0" w:type="dxa"/>
            <w:bottom w:w="0" w:type="dxa"/>
          </w:tblCellMar>
        </w:tblPrEx>
        <w:tc>
          <w:tcPr>
            <w:tcW w:w="0" w:type="auto"/>
            <w:tcBorders>
              <w:top w:val="single" w:sz="3" w:space="0" w:color="2E75B6"/>
              <w:left w:val="thick" w:sz="12" w:space="0" w:color="1F4E79"/>
              <w:bottom w:val="single" w:sz="3" w:space="0" w:color="2E75B6"/>
              <w:right w:val="single" w:sz="3" w:space="0" w:color="2E75B6"/>
            </w:tcBorders>
            <w:shd w:val="clear" w:color="auto" w:fill="EBF3FB"/>
            <w:tcMar>
              <w:top w:w="120" w:type="dxa"/>
              <w:left w:w="200" w:type="dxa"/>
              <w:bottom w:w="120" w:type="dxa"/>
              <w:right w:w="120" w:type="dxa"/>
            </w:tcMar>
          </w:tcPr>
          <w:p w14:paraId="0F7D28B2" w14:textId="77777777" w:rsidR="0056499F" w:rsidRPr="00B7008C" w:rsidRDefault="00000000">
            <w:pPr>
              <w:spacing w:before="60" w:after="60"/>
              <w:rPr>
                <w:rFonts w:ascii="Times New Roman" w:hAnsi="Times New Roman" w:cs="Times New Roman"/>
              </w:rPr>
            </w:pPr>
            <w:r w:rsidRPr="00B7008C">
              <w:rPr>
                <w:rFonts w:ascii="Times New Roman" w:hAnsi="Times New Roman" w:cs="Times New Roman"/>
                <w:b/>
                <w:bCs/>
                <w:color w:val="1F4E79"/>
              </w:rPr>
              <w:t>10 Identified Hub Genes</w:t>
            </w:r>
          </w:p>
          <w:p w14:paraId="4F8EF0AF" w14:textId="77777777" w:rsidR="0056499F" w:rsidRPr="00B7008C" w:rsidRDefault="00000000">
            <w:pPr>
              <w:spacing w:before="60" w:after="60"/>
              <w:rPr>
                <w:rFonts w:ascii="Times New Roman" w:hAnsi="Times New Roman" w:cs="Times New Roman"/>
              </w:rPr>
            </w:pPr>
            <w:r w:rsidRPr="00B7008C">
              <w:rPr>
                <w:rFonts w:ascii="Times New Roman" w:hAnsi="Times New Roman" w:cs="Times New Roman"/>
              </w:rPr>
              <w:lastRenderedPageBreak/>
              <w:t>CDC45, SPAG5, TTK, CCNA2, BIRC5, BUB1B, PBK, CDK1, KIF2C, MELK</w:t>
            </w:r>
          </w:p>
        </w:tc>
      </w:tr>
    </w:tbl>
    <w:p w14:paraId="525BC8C9" w14:textId="77777777" w:rsidR="0056499F" w:rsidRPr="00B7008C" w:rsidRDefault="0056499F">
      <w:pPr>
        <w:spacing w:before="60" w:after="60"/>
        <w:rPr>
          <w:rFonts w:ascii="Times New Roman" w:hAnsi="Times New Roman" w:cs="Times New Roman"/>
        </w:rPr>
      </w:pPr>
    </w:p>
    <w:p w14:paraId="2632A9B4" w14:textId="77777777" w:rsidR="0056499F" w:rsidRPr="00B7008C" w:rsidRDefault="00000000">
      <w:pPr>
        <w:spacing w:before="100" w:after="160" w:line="360" w:lineRule="auto"/>
        <w:jc w:val="both"/>
        <w:rPr>
          <w:rFonts w:ascii="Times New Roman" w:hAnsi="Times New Roman" w:cs="Times New Roman"/>
        </w:rPr>
      </w:pPr>
      <w:r w:rsidRPr="00B7008C">
        <w:rPr>
          <w:rFonts w:ascii="Times New Roman" w:hAnsi="Times New Roman" w:cs="Times New Roman"/>
        </w:rPr>
        <w:t>Functional enrichment analysis consistently highlighted cell cycle regulation as the dominant biological process disrupted in COVID-19. Clinical correlation analysis demonstrated a statistically significant progressive increase in hub gene expression with increasing disease severity. Cross-disease comparative analysis confirmed that the hub gene signature is specifically and substantially upregulated in COVID-19 compared to Influenza and RSV. Validation across three independent statistical methods confirmed 1,354 concordant DEGs. Machine learning classification achieved an AUC of 0.88, validating the diagnostic utility of the hub gene signature. These findings establish cell cycle disruption as a central molecular hallmark of COVID-19 and propose the identified hub genes as promising candidates for experimental validation as diagnostic biomarkers and therapeutic targets.</w:t>
      </w:r>
    </w:p>
    <w:p w14:paraId="00A51A56" w14:textId="77777777" w:rsidR="0056499F" w:rsidRPr="00B7008C" w:rsidRDefault="0056499F">
      <w:pPr>
        <w:spacing w:before="60" w:after="60"/>
        <w:rPr>
          <w:rFonts w:ascii="Times New Roman" w:hAnsi="Times New Roman" w:cs="Times New Roman"/>
        </w:rPr>
      </w:pPr>
    </w:p>
    <w:p w14:paraId="58F014B5" w14:textId="77777777" w:rsidR="0056499F" w:rsidRPr="00B7008C" w:rsidRDefault="00000000">
      <w:pPr>
        <w:pStyle w:val="Heading2"/>
        <w:rPr>
          <w:rFonts w:ascii="Times New Roman" w:hAnsi="Times New Roman" w:cs="Times New Roman"/>
        </w:rPr>
      </w:pPr>
      <w:r w:rsidRPr="00B7008C">
        <w:rPr>
          <w:rFonts w:ascii="Times New Roman" w:hAnsi="Times New Roman" w:cs="Times New Roman"/>
        </w:rPr>
        <w:t>Future Directions</w:t>
      </w:r>
    </w:p>
    <w:p w14:paraId="0D5737D4"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Experimental validation through qPCR and protein-level confirmation in independent COVID-19 cohorts.</w:t>
      </w:r>
    </w:p>
    <w:p w14:paraId="66057750"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Machine learning model validation on larger independent RNA-</w:t>
      </w:r>
      <w:proofErr w:type="spellStart"/>
      <w:r w:rsidRPr="00B7008C">
        <w:rPr>
          <w:rFonts w:ascii="Times New Roman" w:hAnsi="Times New Roman" w:cs="Times New Roman"/>
        </w:rPr>
        <w:t>seq</w:t>
      </w:r>
      <w:proofErr w:type="spellEnd"/>
      <w:r w:rsidRPr="00B7008C">
        <w:rPr>
          <w:rFonts w:ascii="Times New Roman" w:hAnsi="Times New Roman" w:cs="Times New Roman"/>
        </w:rPr>
        <w:t xml:space="preserve"> datasets.</w:t>
      </w:r>
    </w:p>
    <w:p w14:paraId="7ABF13D9"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Longitudinal analysis tracking hub gene expression from acute infection through recovery.</w:t>
      </w:r>
    </w:p>
    <w:p w14:paraId="0F69593B"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In vitro knockdown of KIF2C and CDC45 in SARS-CoV-2 infected cell lines.</w:t>
      </w:r>
    </w:p>
    <w:p w14:paraId="5790E767"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Investigating CDK inhibitors and cell cycle targeting agents for COVID-19 treatment.</w:t>
      </w:r>
    </w:p>
    <w:p w14:paraId="6D0A3262" w14:textId="77777777" w:rsidR="0056499F" w:rsidRPr="00B7008C" w:rsidRDefault="00000000">
      <w:pPr>
        <w:pStyle w:val="ListParagraph"/>
        <w:numPr>
          <w:ilvl w:val="0"/>
          <w:numId w:val="2"/>
        </w:numPr>
        <w:spacing w:before="60" w:after="60" w:line="320" w:lineRule="auto"/>
        <w:rPr>
          <w:rFonts w:ascii="Times New Roman" w:hAnsi="Times New Roman" w:cs="Times New Roman"/>
        </w:rPr>
      </w:pPr>
      <w:r w:rsidRPr="00B7008C">
        <w:rPr>
          <w:rFonts w:ascii="Times New Roman" w:hAnsi="Times New Roman" w:cs="Times New Roman"/>
        </w:rPr>
        <w:t>Application of the pipeline to single-cell RNA-</w:t>
      </w:r>
      <w:proofErr w:type="spellStart"/>
      <w:r w:rsidRPr="00B7008C">
        <w:rPr>
          <w:rFonts w:ascii="Times New Roman" w:hAnsi="Times New Roman" w:cs="Times New Roman"/>
        </w:rPr>
        <w:t>seq</w:t>
      </w:r>
      <w:proofErr w:type="spellEnd"/>
      <w:r w:rsidRPr="00B7008C">
        <w:rPr>
          <w:rFonts w:ascii="Times New Roman" w:hAnsi="Times New Roman" w:cs="Times New Roman"/>
        </w:rPr>
        <w:t xml:space="preserve"> data for cell-type specific insights.</w:t>
      </w:r>
    </w:p>
    <w:p w14:paraId="3B3BBCE2" w14:textId="77777777" w:rsidR="0056499F" w:rsidRPr="00B7008C" w:rsidRDefault="0056499F">
      <w:pPr>
        <w:spacing w:before="60" w:after="60"/>
        <w:rPr>
          <w:rFonts w:ascii="Times New Roman" w:hAnsi="Times New Roman" w:cs="Times New Roman"/>
        </w:rPr>
      </w:pPr>
    </w:p>
    <w:p w14:paraId="4828DBB1" w14:textId="4A5925FF" w:rsidR="0056499F" w:rsidRPr="00B7008C" w:rsidRDefault="00000000" w:rsidP="00B7008C">
      <w:pPr>
        <w:rPr>
          <w:rFonts w:ascii="Times New Roman" w:hAnsi="Times New Roman" w:cs="Times New Roman"/>
        </w:rPr>
      </w:pPr>
      <w:r w:rsidRPr="00B7008C">
        <w:rPr>
          <w:rFonts w:ascii="Times New Roman" w:hAnsi="Times New Roman" w:cs="Times New Roman"/>
        </w:rPr>
        <w:br w:type="page"/>
      </w:r>
      <w:r w:rsidRPr="00B7008C">
        <w:rPr>
          <w:rFonts w:ascii="Times New Roman" w:hAnsi="Times New Roman" w:cs="Times New Roman"/>
          <w:b/>
          <w:bCs/>
          <w:color w:val="1F4E79"/>
          <w:sz w:val="32"/>
          <w:szCs w:val="32"/>
        </w:rPr>
        <w:lastRenderedPageBreak/>
        <w:t>6. References</w:t>
      </w:r>
    </w:p>
    <w:p w14:paraId="756EE498" w14:textId="77777777" w:rsidR="00B7008C" w:rsidRPr="00B7008C" w:rsidRDefault="00B7008C" w:rsidP="00B7008C">
      <w:pPr>
        <w:spacing w:before="100" w:after="160" w:line="360" w:lineRule="auto"/>
        <w:jc w:val="both"/>
        <w:rPr>
          <w:rFonts w:ascii="Times New Roman" w:hAnsi="Times New Roman" w:cs="Times New Roman"/>
        </w:rPr>
      </w:pPr>
      <w:r w:rsidRPr="00B7008C">
        <w:rPr>
          <w:rFonts w:ascii="Times New Roman" w:hAnsi="Times New Roman" w:cs="Times New Roman"/>
          <w:b/>
          <w:bCs/>
        </w:rPr>
        <w:t>1. Arunachalam, P.S., et al. (2020).</w:t>
      </w:r>
      <w:r w:rsidRPr="00B7008C">
        <w:rPr>
          <w:rFonts w:ascii="Times New Roman" w:hAnsi="Times New Roman" w:cs="Times New Roman"/>
        </w:rPr>
        <w:t xml:space="preserve"> Systems biological assessment of immunity to mild versus severe COVID-19 infection in humans. </w:t>
      </w:r>
      <w:r w:rsidRPr="00B7008C">
        <w:rPr>
          <w:rFonts w:ascii="Times New Roman" w:hAnsi="Times New Roman" w:cs="Times New Roman"/>
          <w:i/>
          <w:iCs/>
        </w:rPr>
        <w:t>Science</w:t>
      </w:r>
      <w:r w:rsidRPr="00B7008C">
        <w:rPr>
          <w:rFonts w:ascii="Times New Roman" w:hAnsi="Times New Roman" w:cs="Times New Roman"/>
        </w:rPr>
        <w:t xml:space="preserve">, 369(6508), 1210–1220. </w:t>
      </w:r>
      <w:hyperlink r:id="rId7" w:history="1">
        <w:r w:rsidRPr="00B7008C">
          <w:rPr>
            <w:rStyle w:val="Hyperlink"/>
            <w:rFonts w:ascii="Times New Roman" w:hAnsi="Times New Roman" w:cs="Times New Roman"/>
          </w:rPr>
          <w:t>https://doi.org/10.1126/science.abc6261</w:t>
        </w:r>
      </w:hyperlink>
    </w:p>
    <w:p w14:paraId="710BFE05" w14:textId="162383AB" w:rsidR="00B7008C" w:rsidRPr="00B7008C" w:rsidRDefault="00B7008C" w:rsidP="00B7008C">
      <w:pPr>
        <w:spacing w:before="100" w:after="160" w:line="360" w:lineRule="auto"/>
        <w:jc w:val="both"/>
        <w:rPr>
          <w:rFonts w:ascii="Times New Roman" w:hAnsi="Times New Roman" w:cs="Times New Roman"/>
        </w:rPr>
      </w:pPr>
    </w:p>
    <w:p w14:paraId="741CEF76" w14:textId="77777777" w:rsidR="00B7008C" w:rsidRPr="00B7008C" w:rsidRDefault="00B7008C" w:rsidP="00B7008C">
      <w:pPr>
        <w:spacing w:before="100" w:after="160" w:line="360" w:lineRule="auto"/>
        <w:jc w:val="both"/>
        <w:rPr>
          <w:rFonts w:ascii="Times New Roman" w:hAnsi="Times New Roman" w:cs="Times New Roman"/>
        </w:rPr>
      </w:pPr>
      <w:r w:rsidRPr="00B7008C">
        <w:rPr>
          <w:rFonts w:ascii="Times New Roman" w:hAnsi="Times New Roman" w:cs="Times New Roman"/>
          <w:b/>
          <w:bCs/>
        </w:rPr>
        <w:t xml:space="preserve">2. </w:t>
      </w:r>
      <w:proofErr w:type="spellStart"/>
      <w:r w:rsidRPr="00B7008C">
        <w:rPr>
          <w:rFonts w:ascii="Times New Roman" w:hAnsi="Times New Roman" w:cs="Times New Roman"/>
          <w:b/>
          <w:bCs/>
        </w:rPr>
        <w:t>Hasankhani</w:t>
      </w:r>
      <w:proofErr w:type="spellEnd"/>
      <w:r w:rsidRPr="00B7008C">
        <w:rPr>
          <w:rFonts w:ascii="Times New Roman" w:hAnsi="Times New Roman" w:cs="Times New Roman"/>
          <w:b/>
          <w:bCs/>
        </w:rPr>
        <w:t>, A., et al. (2021).</w:t>
      </w:r>
      <w:r w:rsidRPr="00B7008C">
        <w:rPr>
          <w:rFonts w:ascii="Times New Roman" w:hAnsi="Times New Roman" w:cs="Times New Roman"/>
        </w:rPr>
        <w:t xml:space="preserve"> Differential Co-Expression Network Analysis Reveals Key Hub-High Traffic Genes as Potential Therapeutic Targets for COVID-19 Pandemic. </w:t>
      </w:r>
      <w:r w:rsidRPr="00B7008C">
        <w:rPr>
          <w:rFonts w:ascii="Times New Roman" w:hAnsi="Times New Roman" w:cs="Times New Roman"/>
          <w:i/>
          <w:iCs/>
        </w:rPr>
        <w:t>Frontiers in Immunology</w:t>
      </w:r>
      <w:r w:rsidRPr="00B7008C">
        <w:rPr>
          <w:rFonts w:ascii="Times New Roman" w:hAnsi="Times New Roman" w:cs="Times New Roman"/>
        </w:rPr>
        <w:t xml:space="preserve">, 12, 789317. </w:t>
      </w:r>
      <w:hyperlink r:id="rId8" w:history="1">
        <w:r w:rsidRPr="00B7008C">
          <w:rPr>
            <w:rStyle w:val="Hyperlink"/>
            <w:rFonts w:ascii="Times New Roman" w:hAnsi="Times New Roman" w:cs="Times New Roman"/>
          </w:rPr>
          <w:t>https://doi.org/10.3389/fimmu.2021.789317</w:t>
        </w:r>
      </w:hyperlink>
    </w:p>
    <w:p w14:paraId="5C063686" w14:textId="722F90CC" w:rsidR="00B7008C" w:rsidRPr="00B7008C" w:rsidRDefault="00B7008C" w:rsidP="00B7008C">
      <w:pPr>
        <w:spacing w:before="100" w:after="160" w:line="360" w:lineRule="auto"/>
        <w:jc w:val="both"/>
        <w:rPr>
          <w:rFonts w:ascii="Times New Roman" w:hAnsi="Times New Roman" w:cs="Times New Roman"/>
        </w:rPr>
      </w:pPr>
    </w:p>
    <w:p w14:paraId="7566A850" w14:textId="77777777" w:rsidR="00B7008C" w:rsidRPr="00B7008C" w:rsidRDefault="00B7008C" w:rsidP="00B7008C">
      <w:pPr>
        <w:spacing w:before="100" w:after="160" w:line="360" w:lineRule="auto"/>
        <w:jc w:val="both"/>
        <w:rPr>
          <w:rFonts w:ascii="Times New Roman" w:hAnsi="Times New Roman" w:cs="Times New Roman"/>
        </w:rPr>
      </w:pPr>
      <w:r w:rsidRPr="00B7008C">
        <w:rPr>
          <w:rFonts w:ascii="Times New Roman" w:hAnsi="Times New Roman" w:cs="Times New Roman"/>
          <w:b/>
          <w:bCs/>
        </w:rPr>
        <w:t>3. Cavalcante, L.T.F., et al. (2022).</w:t>
      </w:r>
      <w:r w:rsidRPr="00B7008C">
        <w:rPr>
          <w:rFonts w:ascii="Times New Roman" w:hAnsi="Times New Roman" w:cs="Times New Roman"/>
        </w:rPr>
        <w:t xml:space="preserve"> Buffy Coat Transcriptomic Analysis Reveals Alterations in Host Cell Protein Synthesis and Cell Cycle in Severe COVID-19 Patients. </w:t>
      </w:r>
      <w:r w:rsidRPr="00B7008C">
        <w:rPr>
          <w:rFonts w:ascii="Times New Roman" w:hAnsi="Times New Roman" w:cs="Times New Roman"/>
          <w:i/>
          <w:iCs/>
        </w:rPr>
        <w:t>International Journal of Molecular Sciences</w:t>
      </w:r>
      <w:r w:rsidRPr="00B7008C">
        <w:rPr>
          <w:rFonts w:ascii="Times New Roman" w:hAnsi="Times New Roman" w:cs="Times New Roman"/>
        </w:rPr>
        <w:t xml:space="preserve">, 23(21), 13588. </w:t>
      </w:r>
      <w:hyperlink r:id="rId9" w:history="1">
        <w:r w:rsidRPr="00B7008C">
          <w:rPr>
            <w:rStyle w:val="Hyperlink"/>
            <w:rFonts w:ascii="Times New Roman" w:hAnsi="Times New Roman" w:cs="Times New Roman"/>
          </w:rPr>
          <w:t>https://doi.org/10.3390/ijms232113588</w:t>
        </w:r>
      </w:hyperlink>
    </w:p>
    <w:p w14:paraId="4ED23B08" w14:textId="77777777" w:rsidR="00B7008C" w:rsidRPr="00B7008C" w:rsidRDefault="00B7008C" w:rsidP="00B7008C">
      <w:pPr>
        <w:spacing w:before="100" w:after="160" w:line="360" w:lineRule="auto"/>
        <w:jc w:val="both"/>
        <w:rPr>
          <w:rFonts w:ascii="Times New Roman" w:hAnsi="Times New Roman" w:cs="Times New Roman"/>
          <w:b/>
          <w:bCs/>
        </w:rPr>
      </w:pPr>
    </w:p>
    <w:p w14:paraId="142FFD5F" w14:textId="51C35CF6" w:rsidR="00B7008C" w:rsidRPr="00B7008C" w:rsidRDefault="00B7008C" w:rsidP="00B7008C">
      <w:pPr>
        <w:spacing w:before="100" w:after="160" w:line="360" w:lineRule="auto"/>
        <w:jc w:val="both"/>
        <w:rPr>
          <w:rFonts w:ascii="Times New Roman" w:hAnsi="Times New Roman" w:cs="Times New Roman"/>
        </w:rPr>
      </w:pPr>
      <w:r w:rsidRPr="00B7008C">
        <w:rPr>
          <w:rFonts w:ascii="Times New Roman" w:hAnsi="Times New Roman" w:cs="Times New Roman"/>
          <w:b/>
          <w:bCs/>
        </w:rPr>
        <w:t>4. Huang, J., Wang, Y., Zha, Y., Zeng, X., Li, W., &amp; Zhou, M. (2022).</w:t>
      </w:r>
      <w:r w:rsidRPr="00B7008C">
        <w:rPr>
          <w:rFonts w:ascii="Times New Roman" w:hAnsi="Times New Roman" w:cs="Times New Roman"/>
        </w:rPr>
        <w:t xml:space="preserve"> Transcriptome Analysis Reveals Hub Genes Regulating Autophagy in Patients </w:t>
      </w:r>
      <w:proofErr w:type="gramStart"/>
      <w:r w:rsidRPr="00B7008C">
        <w:rPr>
          <w:rFonts w:ascii="Times New Roman" w:hAnsi="Times New Roman" w:cs="Times New Roman"/>
        </w:rPr>
        <w:t>With</w:t>
      </w:r>
      <w:proofErr w:type="gramEnd"/>
      <w:r w:rsidRPr="00B7008C">
        <w:rPr>
          <w:rFonts w:ascii="Times New Roman" w:hAnsi="Times New Roman" w:cs="Times New Roman"/>
        </w:rPr>
        <w:t xml:space="preserve"> Severe COVID-19. </w:t>
      </w:r>
      <w:r w:rsidRPr="00B7008C">
        <w:rPr>
          <w:rFonts w:ascii="Times New Roman" w:hAnsi="Times New Roman" w:cs="Times New Roman"/>
          <w:i/>
          <w:iCs/>
        </w:rPr>
        <w:t>Frontiers in Genetics</w:t>
      </w:r>
      <w:r w:rsidRPr="00B7008C">
        <w:rPr>
          <w:rFonts w:ascii="Times New Roman" w:hAnsi="Times New Roman" w:cs="Times New Roman"/>
        </w:rPr>
        <w:t xml:space="preserve">, 13, 908826. </w:t>
      </w:r>
      <w:hyperlink r:id="rId10" w:history="1">
        <w:r w:rsidRPr="00B7008C">
          <w:rPr>
            <w:rStyle w:val="Hyperlink"/>
            <w:rFonts w:ascii="Times New Roman" w:hAnsi="Times New Roman" w:cs="Times New Roman"/>
          </w:rPr>
          <w:t>https://doi.org/10.3389/fgene.2022.908826</w:t>
        </w:r>
      </w:hyperlink>
    </w:p>
    <w:p w14:paraId="1017F204" w14:textId="489DEC40" w:rsidR="00B7008C" w:rsidRPr="00B7008C" w:rsidRDefault="00B7008C" w:rsidP="00B7008C">
      <w:pPr>
        <w:spacing w:before="100" w:after="160" w:line="360" w:lineRule="auto"/>
        <w:jc w:val="both"/>
        <w:rPr>
          <w:rFonts w:ascii="Times New Roman" w:hAnsi="Times New Roman" w:cs="Times New Roman"/>
        </w:rPr>
      </w:pPr>
    </w:p>
    <w:p w14:paraId="4961DC00" w14:textId="77777777" w:rsidR="00B7008C" w:rsidRPr="00B7008C" w:rsidRDefault="00B7008C" w:rsidP="00B7008C">
      <w:pPr>
        <w:spacing w:before="100" w:after="160" w:line="360" w:lineRule="auto"/>
        <w:jc w:val="both"/>
        <w:rPr>
          <w:rFonts w:ascii="Times New Roman" w:hAnsi="Times New Roman" w:cs="Times New Roman"/>
        </w:rPr>
      </w:pPr>
      <w:r w:rsidRPr="00B7008C">
        <w:rPr>
          <w:rFonts w:ascii="Times New Roman" w:hAnsi="Times New Roman" w:cs="Times New Roman"/>
          <w:b/>
          <w:bCs/>
        </w:rPr>
        <w:t>5. Thair, S.A., et al. (2022).</w:t>
      </w:r>
      <w:r w:rsidRPr="00B7008C">
        <w:rPr>
          <w:rFonts w:ascii="Times New Roman" w:hAnsi="Times New Roman" w:cs="Times New Roman"/>
        </w:rPr>
        <w:t xml:space="preserve"> COVID-19-specific transcriptomic signature detectable in blood across multiple cohorts. </w:t>
      </w:r>
      <w:r w:rsidRPr="00B7008C">
        <w:rPr>
          <w:rFonts w:ascii="Times New Roman" w:hAnsi="Times New Roman" w:cs="Times New Roman"/>
          <w:i/>
          <w:iCs/>
        </w:rPr>
        <w:t>Frontiers in Genetics</w:t>
      </w:r>
      <w:r w:rsidRPr="00B7008C">
        <w:rPr>
          <w:rFonts w:ascii="Times New Roman" w:hAnsi="Times New Roman" w:cs="Times New Roman"/>
        </w:rPr>
        <w:t xml:space="preserve">, 13, 929887. </w:t>
      </w:r>
      <w:hyperlink r:id="rId11" w:history="1">
        <w:r w:rsidRPr="00B7008C">
          <w:rPr>
            <w:rStyle w:val="Hyperlink"/>
            <w:rFonts w:ascii="Times New Roman" w:hAnsi="Times New Roman" w:cs="Times New Roman"/>
          </w:rPr>
          <w:t>https://doi.org/10.3389/fgene.2022.929887</w:t>
        </w:r>
      </w:hyperlink>
    </w:p>
    <w:p w14:paraId="4A41C444" w14:textId="09295FF4" w:rsidR="00B7008C" w:rsidRPr="00B7008C" w:rsidRDefault="00B7008C" w:rsidP="00B7008C">
      <w:pPr>
        <w:spacing w:before="100" w:after="160" w:line="360" w:lineRule="auto"/>
        <w:jc w:val="both"/>
        <w:rPr>
          <w:rFonts w:ascii="Times New Roman" w:hAnsi="Times New Roman" w:cs="Times New Roman"/>
        </w:rPr>
      </w:pPr>
    </w:p>
    <w:p w14:paraId="789D6646" w14:textId="77777777" w:rsidR="00B7008C" w:rsidRPr="00B7008C" w:rsidRDefault="00B7008C" w:rsidP="00B7008C">
      <w:pPr>
        <w:spacing w:before="100" w:after="160" w:line="360" w:lineRule="auto"/>
        <w:jc w:val="both"/>
        <w:rPr>
          <w:rFonts w:ascii="Times New Roman" w:hAnsi="Times New Roman" w:cs="Times New Roman"/>
        </w:rPr>
      </w:pPr>
      <w:r w:rsidRPr="00B7008C">
        <w:rPr>
          <w:rFonts w:ascii="Times New Roman" w:hAnsi="Times New Roman" w:cs="Times New Roman"/>
          <w:b/>
          <w:bCs/>
        </w:rPr>
        <w:t>6. (2023).</w:t>
      </w:r>
      <w:r w:rsidRPr="00B7008C">
        <w:rPr>
          <w:rFonts w:ascii="Times New Roman" w:hAnsi="Times New Roman" w:cs="Times New Roman"/>
        </w:rPr>
        <w:t xml:space="preserve"> Discovering common pathogenic processes between COVID-19 and HFRS by integrating RNA-</w:t>
      </w:r>
      <w:proofErr w:type="spellStart"/>
      <w:r w:rsidRPr="00B7008C">
        <w:rPr>
          <w:rFonts w:ascii="Times New Roman" w:hAnsi="Times New Roman" w:cs="Times New Roman"/>
        </w:rPr>
        <w:t>seq</w:t>
      </w:r>
      <w:proofErr w:type="spellEnd"/>
      <w:r w:rsidRPr="00B7008C">
        <w:rPr>
          <w:rFonts w:ascii="Times New Roman" w:hAnsi="Times New Roman" w:cs="Times New Roman"/>
        </w:rPr>
        <w:t xml:space="preserve"> differential expression analysis with machine learning. </w:t>
      </w:r>
      <w:r w:rsidRPr="00B7008C">
        <w:rPr>
          <w:rFonts w:ascii="Times New Roman" w:hAnsi="Times New Roman" w:cs="Times New Roman"/>
          <w:i/>
          <w:iCs/>
        </w:rPr>
        <w:t>PLOS ONE</w:t>
      </w:r>
      <w:r w:rsidRPr="00B7008C">
        <w:rPr>
          <w:rFonts w:ascii="Times New Roman" w:hAnsi="Times New Roman" w:cs="Times New Roman"/>
        </w:rPr>
        <w:t xml:space="preserve">. </w:t>
      </w:r>
      <w:hyperlink r:id="rId12" w:history="1">
        <w:r w:rsidRPr="00B7008C">
          <w:rPr>
            <w:rStyle w:val="Hyperlink"/>
            <w:rFonts w:ascii="Times New Roman" w:hAnsi="Times New Roman" w:cs="Times New Roman"/>
          </w:rPr>
          <w:t>https://doi.org/10.1371/journal.pone.0283245</w:t>
        </w:r>
      </w:hyperlink>
    </w:p>
    <w:p w14:paraId="6E52D7DF" w14:textId="05977EC7" w:rsidR="00B7008C" w:rsidRPr="00B7008C" w:rsidRDefault="00B7008C" w:rsidP="00B7008C">
      <w:pPr>
        <w:spacing w:before="100" w:after="160" w:line="360" w:lineRule="auto"/>
        <w:jc w:val="both"/>
        <w:rPr>
          <w:rFonts w:ascii="Times New Roman" w:hAnsi="Times New Roman" w:cs="Times New Roman"/>
        </w:rPr>
      </w:pPr>
    </w:p>
    <w:p w14:paraId="7B308A08" w14:textId="77777777" w:rsidR="00B7008C" w:rsidRPr="00B7008C" w:rsidRDefault="00B7008C" w:rsidP="00B7008C">
      <w:pPr>
        <w:spacing w:before="100" w:after="160" w:line="360" w:lineRule="auto"/>
        <w:jc w:val="both"/>
        <w:rPr>
          <w:rFonts w:ascii="Times New Roman" w:hAnsi="Times New Roman" w:cs="Times New Roman"/>
        </w:rPr>
      </w:pPr>
      <w:r w:rsidRPr="00B7008C">
        <w:rPr>
          <w:rFonts w:ascii="Times New Roman" w:hAnsi="Times New Roman" w:cs="Times New Roman"/>
          <w:b/>
          <w:bCs/>
        </w:rPr>
        <w:t>7. (2023).</w:t>
      </w:r>
      <w:r w:rsidRPr="00B7008C">
        <w:rPr>
          <w:rFonts w:ascii="Times New Roman" w:hAnsi="Times New Roman" w:cs="Times New Roman"/>
        </w:rPr>
        <w:t xml:space="preserve"> Machine learning and integrative analysis identify the common pathogenesis of azoospermia complicated with COVID-19. </w:t>
      </w:r>
      <w:r w:rsidRPr="00B7008C">
        <w:rPr>
          <w:rFonts w:ascii="Times New Roman" w:hAnsi="Times New Roman" w:cs="Times New Roman"/>
          <w:i/>
          <w:iCs/>
        </w:rPr>
        <w:t>Frontiers in Immunology</w:t>
      </w:r>
      <w:r w:rsidRPr="00B7008C">
        <w:rPr>
          <w:rFonts w:ascii="Times New Roman" w:hAnsi="Times New Roman" w:cs="Times New Roman"/>
        </w:rPr>
        <w:t xml:space="preserve">, 14, 1114870. </w:t>
      </w:r>
      <w:hyperlink r:id="rId13" w:history="1">
        <w:r w:rsidRPr="00B7008C">
          <w:rPr>
            <w:rStyle w:val="Hyperlink"/>
            <w:rFonts w:ascii="Times New Roman" w:hAnsi="Times New Roman" w:cs="Times New Roman"/>
          </w:rPr>
          <w:t>https://doi.org/10.3389/fimmu.2023.1114870</w:t>
        </w:r>
      </w:hyperlink>
    </w:p>
    <w:p w14:paraId="102C5736" w14:textId="1FBBE045" w:rsidR="00B7008C" w:rsidRPr="00B7008C" w:rsidRDefault="00B7008C" w:rsidP="00B7008C">
      <w:pPr>
        <w:spacing w:before="100" w:after="160" w:line="360" w:lineRule="auto"/>
        <w:jc w:val="both"/>
        <w:rPr>
          <w:rFonts w:ascii="Times New Roman" w:hAnsi="Times New Roman" w:cs="Times New Roman"/>
        </w:rPr>
      </w:pPr>
    </w:p>
    <w:p w14:paraId="5F1380AA" w14:textId="77777777" w:rsidR="00B7008C" w:rsidRPr="00B7008C" w:rsidRDefault="00B7008C" w:rsidP="00B7008C">
      <w:pPr>
        <w:spacing w:before="100" w:after="160" w:line="360" w:lineRule="auto"/>
        <w:jc w:val="both"/>
        <w:rPr>
          <w:rFonts w:ascii="Times New Roman" w:hAnsi="Times New Roman" w:cs="Times New Roman"/>
        </w:rPr>
      </w:pPr>
      <w:r w:rsidRPr="00B7008C">
        <w:rPr>
          <w:rFonts w:ascii="Times New Roman" w:hAnsi="Times New Roman" w:cs="Times New Roman"/>
          <w:b/>
          <w:bCs/>
        </w:rPr>
        <w:lastRenderedPageBreak/>
        <w:t>8. (2025).</w:t>
      </w:r>
      <w:r w:rsidRPr="00B7008C">
        <w:rPr>
          <w:rFonts w:ascii="Times New Roman" w:hAnsi="Times New Roman" w:cs="Times New Roman"/>
        </w:rPr>
        <w:t xml:space="preserve"> Machine learning, bioinformatics and </w:t>
      </w:r>
      <w:proofErr w:type="spellStart"/>
      <w:r w:rsidRPr="00B7008C">
        <w:rPr>
          <w:rFonts w:ascii="Times New Roman" w:hAnsi="Times New Roman" w:cs="Times New Roman"/>
        </w:rPr>
        <w:t>scRNA-seq</w:t>
      </w:r>
      <w:proofErr w:type="spellEnd"/>
      <w:r w:rsidRPr="00B7008C">
        <w:rPr>
          <w:rFonts w:ascii="Times New Roman" w:hAnsi="Times New Roman" w:cs="Times New Roman"/>
        </w:rPr>
        <w:t xml:space="preserve"> analysis of hub genes for co-diagnosis of COVID-19 and systemic lupus erythematosus. </w:t>
      </w:r>
      <w:proofErr w:type="spellStart"/>
      <w:r w:rsidRPr="00B7008C">
        <w:rPr>
          <w:rFonts w:ascii="Times New Roman" w:hAnsi="Times New Roman" w:cs="Times New Roman"/>
          <w:i/>
          <w:iCs/>
        </w:rPr>
        <w:t>iScience</w:t>
      </w:r>
      <w:proofErr w:type="spellEnd"/>
      <w:r w:rsidRPr="00B7008C">
        <w:rPr>
          <w:rFonts w:ascii="Times New Roman" w:hAnsi="Times New Roman" w:cs="Times New Roman"/>
        </w:rPr>
        <w:t xml:space="preserve">. </w:t>
      </w:r>
      <w:hyperlink r:id="rId14" w:history="1">
        <w:r w:rsidRPr="00B7008C">
          <w:rPr>
            <w:rStyle w:val="Hyperlink"/>
            <w:rFonts w:ascii="Times New Roman" w:hAnsi="Times New Roman" w:cs="Times New Roman"/>
          </w:rPr>
          <w:t>https://doi.org/10.1016/j.isci.2025.111800</w:t>
        </w:r>
      </w:hyperlink>
    </w:p>
    <w:p w14:paraId="3927ED18" w14:textId="0B0885A6" w:rsidR="00B7008C" w:rsidRPr="00B7008C" w:rsidRDefault="00B7008C" w:rsidP="00B7008C">
      <w:pPr>
        <w:spacing w:before="100" w:after="160" w:line="360" w:lineRule="auto"/>
        <w:jc w:val="both"/>
        <w:rPr>
          <w:rFonts w:ascii="Times New Roman" w:hAnsi="Times New Roman" w:cs="Times New Roman"/>
        </w:rPr>
      </w:pPr>
    </w:p>
    <w:p w14:paraId="4BBF78AD" w14:textId="77777777" w:rsidR="00B7008C" w:rsidRPr="00B7008C" w:rsidRDefault="00B7008C" w:rsidP="00B7008C">
      <w:pPr>
        <w:spacing w:before="100" w:after="160" w:line="360" w:lineRule="auto"/>
        <w:jc w:val="both"/>
        <w:rPr>
          <w:rFonts w:ascii="Times New Roman" w:hAnsi="Times New Roman" w:cs="Times New Roman"/>
        </w:rPr>
      </w:pPr>
      <w:r w:rsidRPr="00B7008C">
        <w:rPr>
          <w:rFonts w:ascii="Times New Roman" w:hAnsi="Times New Roman" w:cs="Times New Roman"/>
          <w:b/>
          <w:bCs/>
        </w:rPr>
        <w:t>9. (2025).</w:t>
      </w:r>
      <w:r w:rsidRPr="00B7008C">
        <w:rPr>
          <w:rFonts w:ascii="Times New Roman" w:hAnsi="Times New Roman" w:cs="Times New Roman"/>
        </w:rPr>
        <w:t xml:space="preserve"> Integrated multi-sample transcriptomic analysis of COVID-19 patients against controls using a bioinformatics pipeline. </w:t>
      </w:r>
      <w:r w:rsidRPr="00B7008C">
        <w:rPr>
          <w:rFonts w:ascii="Times New Roman" w:hAnsi="Times New Roman" w:cs="Times New Roman"/>
          <w:i/>
          <w:iCs/>
        </w:rPr>
        <w:t>Scientific Reports</w:t>
      </w:r>
      <w:r w:rsidRPr="00B7008C">
        <w:rPr>
          <w:rFonts w:ascii="Times New Roman" w:hAnsi="Times New Roman" w:cs="Times New Roman"/>
        </w:rPr>
        <w:t xml:space="preserve">. </w:t>
      </w:r>
      <w:hyperlink r:id="rId15" w:history="1">
        <w:r w:rsidRPr="00B7008C">
          <w:rPr>
            <w:rStyle w:val="Hyperlink"/>
            <w:rFonts w:ascii="Times New Roman" w:hAnsi="Times New Roman" w:cs="Times New Roman"/>
          </w:rPr>
          <w:t>https://doi.org/10.1038/s41598-025-03640-1</w:t>
        </w:r>
      </w:hyperlink>
    </w:p>
    <w:p w14:paraId="16A276B5" w14:textId="1DFEF4D1" w:rsidR="00B7008C" w:rsidRPr="00B7008C" w:rsidRDefault="00B7008C" w:rsidP="00B7008C">
      <w:pPr>
        <w:spacing w:before="100" w:after="160" w:line="360" w:lineRule="auto"/>
        <w:jc w:val="both"/>
        <w:rPr>
          <w:rFonts w:ascii="Times New Roman" w:hAnsi="Times New Roman" w:cs="Times New Roman"/>
        </w:rPr>
      </w:pPr>
    </w:p>
    <w:p w14:paraId="71B0BA4B" w14:textId="77777777" w:rsidR="00B7008C" w:rsidRPr="00B7008C" w:rsidRDefault="00B7008C" w:rsidP="00B7008C">
      <w:pPr>
        <w:spacing w:before="100" w:after="160" w:line="360" w:lineRule="auto"/>
        <w:jc w:val="both"/>
        <w:rPr>
          <w:rFonts w:ascii="Times New Roman" w:hAnsi="Times New Roman" w:cs="Times New Roman"/>
        </w:rPr>
      </w:pPr>
      <w:r w:rsidRPr="00B7008C">
        <w:rPr>
          <w:rFonts w:ascii="Times New Roman" w:hAnsi="Times New Roman" w:cs="Times New Roman"/>
          <w:b/>
          <w:bCs/>
        </w:rPr>
        <w:t>10. (2025).</w:t>
      </w:r>
      <w:r w:rsidRPr="00B7008C">
        <w:rPr>
          <w:rFonts w:ascii="Times New Roman" w:hAnsi="Times New Roman" w:cs="Times New Roman"/>
        </w:rPr>
        <w:t xml:space="preserve"> Tracing the evolutionary pathway of SARS-CoV-2 through RNA sequencing analysis. </w:t>
      </w:r>
      <w:r w:rsidRPr="00B7008C">
        <w:rPr>
          <w:rFonts w:ascii="Times New Roman" w:hAnsi="Times New Roman" w:cs="Times New Roman"/>
          <w:i/>
          <w:iCs/>
        </w:rPr>
        <w:t>Scientific Reports</w:t>
      </w:r>
      <w:r w:rsidRPr="00B7008C">
        <w:rPr>
          <w:rFonts w:ascii="Times New Roman" w:hAnsi="Times New Roman" w:cs="Times New Roman"/>
        </w:rPr>
        <w:t xml:space="preserve">. </w:t>
      </w:r>
      <w:hyperlink r:id="rId16" w:history="1">
        <w:r w:rsidRPr="00B7008C">
          <w:rPr>
            <w:rStyle w:val="Hyperlink"/>
            <w:rFonts w:ascii="Times New Roman" w:hAnsi="Times New Roman" w:cs="Times New Roman"/>
          </w:rPr>
          <w:t>https://doi.org/10.1038/s41598-025-09911-1</w:t>
        </w:r>
      </w:hyperlink>
    </w:p>
    <w:p w14:paraId="349FA3EF" w14:textId="09925266" w:rsidR="0056499F" w:rsidRPr="00B7008C" w:rsidRDefault="0056499F" w:rsidP="00B7008C">
      <w:pPr>
        <w:spacing w:before="100" w:after="160" w:line="360" w:lineRule="auto"/>
        <w:jc w:val="both"/>
        <w:rPr>
          <w:rFonts w:ascii="Times New Roman" w:hAnsi="Times New Roman" w:cs="Times New Roman"/>
        </w:rPr>
      </w:pPr>
    </w:p>
    <w:sectPr w:rsidR="0056499F" w:rsidRPr="00B7008C" w:rsidSect="00B7008C">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02DE7" w14:textId="77777777" w:rsidR="00A567B0" w:rsidRDefault="00A567B0">
      <w:r>
        <w:separator/>
      </w:r>
    </w:p>
  </w:endnote>
  <w:endnote w:type="continuationSeparator" w:id="0">
    <w:p w14:paraId="112C9331" w14:textId="77777777" w:rsidR="00A567B0" w:rsidRDefault="00A56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551BC" w14:textId="77777777" w:rsidR="00A567B0" w:rsidRDefault="00A567B0">
      <w:r>
        <w:separator/>
      </w:r>
    </w:p>
  </w:footnote>
  <w:footnote w:type="continuationSeparator" w:id="0">
    <w:p w14:paraId="3729980D" w14:textId="77777777" w:rsidR="00A567B0" w:rsidRDefault="00A56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67B6C"/>
    <w:multiLevelType w:val="hybridMultilevel"/>
    <w:tmpl w:val="83143EC8"/>
    <w:lvl w:ilvl="0" w:tplc="E8D02F2E">
      <w:start w:val="1"/>
      <w:numFmt w:val="bullet"/>
      <w:lvlText w:val="•"/>
      <w:lvlJc w:val="left"/>
      <w:pPr>
        <w:ind w:left="720" w:hanging="360"/>
      </w:pPr>
    </w:lvl>
    <w:lvl w:ilvl="1" w:tplc="4E9C2F28">
      <w:numFmt w:val="decimal"/>
      <w:lvlText w:val=""/>
      <w:lvlJc w:val="left"/>
    </w:lvl>
    <w:lvl w:ilvl="2" w:tplc="9F2CEFEE">
      <w:numFmt w:val="decimal"/>
      <w:lvlText w:val=""/>
      <w:lvlJc w:val="left"/>
    </w:lvl>
    <w:lvl w:ilvl="3" w:tplc="0FC2C1C4">
      <w:numFmt w:val="decimal"/>
      <w:lvlText w:val=""/>
      <w:lvlJc w:val="left"/>
    </w:lvl>
    <w:lvl w:ilvl="4" w:tplc="1272E5C2">
      <w:numFmt w:val="decimal"/>
      <w:lvlText w:val=""/>
      <w:lvlJc w:val="left"/>
    </w:lvl>
    <w:lvl w:ilvl="5" w:tplc="EE7EE536">
      <w:numFmt w:val="decimal"/>
      <w:lvlText w:val=""/>
      <w:lvlJc w:val="left"/>
    </w:lvl>
    <w:lvl w:ilvl="6" w:tplc="DEE6CA64">
      <w:numFmt w:val="decimal"/>
      <w:lvlText w:val=""/>
      <w:lvlJc w:val="left"/>
    </w:lvl>
    <w:lvl w:ilvl="7" w:tplc="17E653C0">
      <w:numFmt w:val="decimal"/>
      <w:lvlText w:val=""/>
      <w:lvlJc w:val="left"/>
    </w:lvl>
    <w:lvl w:ilvl="8" w:tplc="3F92396A">
      <w:numFmt w:val="decimal"/>
      <w:lvlText w:val=""/>
      <w:lvlJc w:val="left"/>
    </w:lvl>
  </w:abstractNum>
  <w:abstractNum w:abstractNumId="1" w15:restartNumberingAfterBreak="0">
    <w:nsid w:val="72DB1ACE"/>
    <w:multiLevelType w:val="hybridMultilevel"/>
    <w:tmpl w:val="2904D01E"/>
    <w:lvl w:ilvl="0" w:tplc="878C8340">
      <w:start w:val="1"/>
      <w:numFmt w:val="bullet"/>
      <w:lvlText w:val="●"/>
      <w:lvlJc w:val="left"/>
      <w:pPr>
        <w:ind w:left="720" w:hanging="360"/>
      </w:pPr>
    </w:lvl>
    <w:lvl w:ilvl="1" w:tplc="C2C827D2">
      <w:start w:val="1"/>
      <w:numFmt w:val="bullet"/>
      <w:lvlText w:val="○"/>
      <w:lvlJc w:val="left"/>
      <w:pPr>
        <w:ind w:left="1440" w:hanging="360"/>
      </w:pPr>
    </w:lvl>
    <w:lvl w:ilvl="2" w:tplc="0B308F2E">
      <w:start w:val="1"/>
      <w:numFmt w:val="bullet"/>
      <w:lvlText w:val="■"/>
      <w:lvlJc w:val="left"/>
      <w:pPr>
        <w:ind w:left="2160" w:hanging="360"/>
      </w:pPr>
    </w:lvl>
    <w:lvl w:ilvl="3" w:tplc="57083AB6">
      <w:start w:val="1"/>
      <w:numFmt w:val="bullet"/>
      <w:lvlText w:val="●"/>
      <w:lvlJc w:val="left"/>
      <w:pPr>
        <w:ind w:left="2880" w:hanging="360"/>
      </w:pPr>
    </w:lvl>
    <w:lvl w:ilvl="4" w:tplc="CFBE22EC">
      <w:start w:val="1"/>
      <w:numFmt w:val="bullet"/>
      <w:lvlText w:val="○"/>
      <w:lvlJc w:val="left"/>
      <w:pPr>
        <w:ind w:left="3600" w:hanging="360"/>
      </w:pPr>
    </w:lvl>
    <w:lvl w:ilvl="5" w:tplc="12DA7E78">
      <w:start w:val="1"/>
      <w:numFmt w:val="bullet"/>
      <w:lvlText w:val="■"/>
      <w:lvlJc w:val="left"/>
      <w:pPr>
        <w:ind w:left="4320" w:hanging="360"/>
      </w:pPr>
    </w:lvl>
    <w:lvl w:ilvl="6" w:tplc="644C49F0">
      <w:start w:val="1"/>
      <w:numFmt w:val="bullet"/>
      <w:lvlText w:val="●"/>
      <w:lvlJc w:val="left"/>
      <w:pPr>
        <w:ind w:left="5040" w:hanging="360"/>
      </w:pPr>
    </w:lvl>
    <w:lvl w:ilvl="7" w:tplc="1070F4C6">
      <w:start w:val="1"/>
      <w:numFmt w:val="bullet"/>
      <w:lvlText w:val="●"/>
      <w:lvlJc w:val="left"/>
      <w:pPr>
        <w:ind w:left="5760" w:hanging="360"/>
      </w:pPr>
    </w:lvl>
    <w:lvl w:ilvl="8" w:tplc="E8E42D3C">
      <w:start w:val="1"/>
      <w:numFmt w:val="bullet"/>
      <w:lvlText w:val="●"/>
      <w:lvlJc w:val="left"/>
      <w:pPr>
        <w:ind w:left="6480" w:hanging="360"/>
      </w:pPr>
    </w:lvl>
  </w:abstractNum>
  <w:abstractNum w:abstractNumId="2" w15:restartNumberingAfterBreak="0">
    <w:nsid w:val="738D3E65"/>
    <w:multiLevelType w:val="hybridMultilevel"/>
    <w:tmpl w:val="B07E54B4"/>
    <w:lvl w:ilvl="0" w:tplc="F7643BDE">
      <w:start w:val="1"/>
      <w:numFmt w:val="decimal"/>
      <w:lvlText w:val="%1."/>
      <w:lvlJc w:val="left"/>
      <w:pPr>
        <w:ind w:left="720" w:hanging="360"/>
      </w:pPr>
    </w:lvl>
    <w:lvl w:ilvl="1" w:tplc="2138BD9E">
      <w:numFmt w:val="decimal"/>
      <w:lvlText w:val=""/>
      <w:lvlJc w:val="left"/>
    </w:lvl>
    <w:lvl w:ilvl="2" w:tplc="E796E670">
      <w:numFmt w:val="decimal"/>
      <w:lvlText w:val=""/>
      <w:lvlJc w:val="left"/>
    </w:lvl>
    <w:lvl w:ilvl="3" w:tplc="F07ECB0A">
      <w:numFmt w:val="decimal"/>
      <w:lvlText w:val=""/>
      <w:lvlJc w:val="left"/>
    </w:lvl>
    <w:lvl w:ilvl="4" w:tplc="C23C04EC">
      <w:numFmt w:val="decimal"/>
      <w:lvlText w:val=""/>
      <w:lvlJc w:val="left"/>
    </w:lvl>
    <w:lvl w:ilvl="5" w:tplc="1D72F26C">
      <w:numFmt w:val="decimal"/>
      <w:lvlText w:val=""/>
      <w:lvlJc w:val="left"/>
    </w:lvl>
    <w:lvl w:ilvl="6" w:tplc="A2B81D10">
      <w:numFmt w:val="decimal"/>
      <w:lvlText w:val=""/>
      <w:lvlJc w:val="left"/>
    </w:lvl>
    <w:lvl w:ilvl="7" w:tplc="6D48BBF0">
      <w:numFmt w:val="decimal"/>
      <w:lvlText w:val=""/>
      <w:lvlJc w:val="left"/>
    </w:lvl>
    <w:lvl w:ilvl="8" w:tplc="6DD64744">
      <w:numFmt w:val="decimal"/>
      <w:lvlText w:val=""/>
      <w:lvlJc w:val="left"/>
    </w:lvl>
  </w:abstractNum>
  <w:num w:numId="1" w16cid:durableId="960383344">
    <w:abstractNumId w:val="1"/>
    <w:lvlOverride w:ilvl="0">
      <w:startOverride w:val="1"/>
    </w:lvlOverride>
  </w:num>
  <w:num w:numId="2" w16cid:durableId="2042317183">
    <w:abstractNumId w:val="2"/>
    <w:lvlOverride w:ilvl="0">
      <w:startOverride w:val="1"/>
    </w:lvlOverride>
  </w:num>
  <w:num w:numId="3" w16cid:durableId="27604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99F"/>
    <w:rsid w:val="00152BA2"/>
    <w:rsid w:val="00352A1C"/>
    <w:rsid w:val="0056499F"/>
    <w:rsid w:val="005B054C"/>
    <w:rsid w:val="00A567B0"/>
    <w:rsid w:val="00B70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3D193"/>
  <w15:docId w15:val="{4C60E020-3D03-429D-9A40-604BF1B9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008C"/>
    <w:pPr>
      <w:tabs>
        <w:tab w:val="center" w:pos="4513"/>
        <w:tab w:val="right" w:pos="9026"/>
      </w:tabs>
    </w:pPr>
  </w:style>
  <w:style w:type="character" w:customStyle="1" w:styleId="HeaderChar">
    <w:name w:val="Header Char"/>
    <w:basedOn w:val="DefaultParagraphFont"/>
    <w:link w:val="Header"/>
    <w:uiPriority w:val="99"/>
    <w:rsid w:val="00B7008C"/>
  </w:style>
  <w:style w:type="paragraph" w:styleId="Footer">
    <w:name w:val="footer"/>
    <w:basedOn w:val="Normal"/>
    <w:link w:val="FooterChar"/>
    <w:uiPriority w:val="99"/>
    <w:unhideWhenUsed/>
    <w:rsid w:val="00B7008C"/>
    <w:pPr>
      <w:tabs>
        <w:tab w:val="center" w:pos="4513"/>
        <w:tab w:val="right" w:pos="9026"/>
      </w:tabs>
    </w:pPr>
  </w:style>
  <w:style w:type="character" w:customStyle="1" w:styleId="FooterChar">
    <w:name w:val="Footer Char"/>
    <w:basedOn w:val="DefaultParagraphFont"/>
    <w:link w:val="Footer"/>
    <w:uiPriority w:val="99"/>
    <w:rsid w:val="00B7008C"/>
  </w:style>
  <w:style w:type="character" w:styleId="UnresolvedMention">
    <w:name w:val="Unresolved Mention"/>
    <w:basedOn w:val="DefaultParagraphFont"/>
    <w:uiPriority w:val="99"/>
    <w:semiHidden/>
    <w:unhideWhenUsed/>
    <w:rsid w:val="00B70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389/fimmu.2021.789317" TargetMode="External"/><Relationship Id="rId13" Type="http://schemas.openxmlformats.org/officeDocument/2006/relationships/hyperlink" Target="https://doi.org/10.3389/fimmu.2023.111487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26/science.abc6261" TargetMode="External"/><Relationship Id="rId12" Type="http://schemas.openxmlformats.org/officeDocument/2006/relationships/hyperlink" Target="https://doi.org/10.1371/journal.pone.028324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38/s41598-025-0991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89/fgene.2022.929887" TargetMode="External"/><Relationship Id="rId5" Type="http://schemas.openxmlformats.org/officeDocument/2006/relationships/footnotes" Target="footnotes.xml"/><Relationship Id="rId15" Type="http://schemas.openxmlformats.org/officeDocument/2006/relationships/hyperlink" Target="https://doi.org/10.1038/s41598-025-03640-1" TargetMode="External"/><Relationship Id="rId10" Type="http://schemas.openxmlformats.org/officeDocument/2006/relationships/hyperlink" Target="https://doi.org/10.3389/fgene.2022.908826" TargetMode="External"/><Relationship Id="rId4" Type="http://schemas.openxmlformats.org/officeDocument/2006/relationships/webSettings" Target="webSettings.xml"/><Relationship Id="rId9" Type="http://schemas.openxmlformats.org/officeDocument/2006/relationships/hyperlink" Target="https://doi.org/10.3390/ijms232113588" TargetMode="External"/><Relationship Id="rId14" Type="http://schemas.openxmlformats.org/officeDocument/2006/relationships/hyperlink" Target="https://doi.org/10.1016/j.isci.2025.1118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3128</Words>
  <Characters>17832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Thousif Shaik</cp:lastModifiedBy>
  <cp:revision>2</cp:revision>
  <dcterms:created xsi:type="dcterms:W3CDTF">2026-05-23T15:01:00Z</dcterms:created>
  <dcterms:modified xsi:type="dcterms:W3CDTF">2026-05-23T15:01:00Z</dcterms:modified>
</cp:coreProperties>
</file>