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0"/>
      </w:pPr>
      <w:r>
        <w:t xml:space="preserve"/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0d6b5e"/>
          <w:sz w:val="80"/>
          <w:szCs w:val="80"/>
        </w:rPr>
        <w:t xml:space="preserve">Small Claims Genie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i/>
          <w:iCs/>
          <w:color w:val="374151"/>
          <w:sz w:val="40"/>
          <w:szCs w:val="40"/>
        </w:rPr>
        <w:t xml:space="preserve">Product Specification &amp; Investor Brief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color w:val="374151"/>
          <w:sz w:val="28"/>
          <w:szCs w:val="28"/>
        </w:rPr>
        <w:t xml:space="preserve">California Small Claims Court — Guided AI Platform</w:t>
      </w:r>
    </w:p>
    <w:p>
      <w:pPr>
        <w:pBdr>
          <w:bottom w:val="single" w:color="0d6b5e" w:sz="8"/>
        </w:pBdr>
        <w:spacing w:after="120" w:before="80"/>
      </w:pPr>
      <w:r>
        <w:t xml:space="preserve"/>
      </w:r>
    </w:p>
    <w:p>
      <w:pPr>
        <w:spacing w:after="60" w:before="120"/>
        <w:jc w:val="center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Version 1.0   |   Confidential   |   May 2026</w:t>
      </w:r>
    </w:p>
    <w:p>
      <w:pPr>
        <w:spacing w:after="200" w:before="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d6b5e" w:sz="6"/>
              <w:left w:val="single" w:color="0d6b5e" w:sz="6"/>
              <w:bottom w:val="single" w:color="0d6b5e" w:sz="6"/>
              <w:right w:val="single" w:color="0d6b5e" w:sz="6"/>
            </w:tcBorders>
            <w:shd w:fill="e6f4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0d6b5e"/>
                <w:sz w:val="21"/>
                <w:szCs w:val="21"/>
              </w:rPr>
              <w:t xml:space="preserve">This document is intended for prospective investors and strategic partners. It covers the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0d6b5e"/>
                <w:sz w:val="21"/>
                <w:szCs w:val="21"/>
              </w:rPr>
              <w:t xml:space="preserve">product value proposition, feature set, technical architecture, business model,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0d6b5e"/>
                <w:sz w:val="21"/>
                <w:szCs w:val="21"/>
              </w:rPr>
              <w:t xml:space="preserve">operational framework, and growth roadmap.</w:t>
            </w:r>
          </w:p>
        </w:tc>
      </w:tr>
    </w:tbl>
    <w:p>
      <w:r>
        <w:br w:type="page"/>
      </w:r>
    </w:p>
    <w:p>
      <w:pPr>
        <w:spacing w:after="160" w:before="400"/>
      </w:pPr>
      <w:r>
        <w:rPr>
          <w:rFonts w:ascii="Calibri" w:cs="Calibri" w:eastAsia="Calibri" w:hAnsi="Calibri"/>
          <w:b/>
          <w:bCs/>
          <w:color w:val="0d6b5e"/>
          <w:sz w:val="40"/>
          <w:szCs w:val="40"/>
        </w:rPr>
        <w:t xml:space="preserve">1.  Executive Summary</w:t>
      </w: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Small Claims Genie is a California-focused, mobile-first SaaS platform that guides individuals and small businesses through the entire small claims court process — from initial filing through day-of-hearing preparation — without an attorney. The platform combines guided intake, AI-powered document drafting, pre-filled official California court forms, and courtroom simulation into a single, affordable end-to-end product.</w:t>
      </w:r>
    </w:p>
    <w:p>
      <w:pPr>
        <w:spacing w:after="100" w:before="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d6b5e" w:sz="6"/>
              <w:left w:val="single" w:color="0d6b5e" w:sz="6"/>
              <w:bottom w:val="single" w:color="0d6b5e" w:sz="6"/>
              <w:right w:val="single" w:color="0d6b5e" w:sz="6"/>
            </w:tcBorders>
            <w:shd w:fill="e6f4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0d6b5e"/>
                <w:sz w:val="21"/>
                <w:szCs w:val="21"/>
              </w:rPr>
              <w:t xml:space="preserve">Mission:    Make the California small claims court system accessible at every income level.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0d6b5e"/>
                <w:sz w:val="21"/>
                <w:szCs w:val="21"/>
              </w:rPr>
              <w:t xml:space="preserve">Model:      Freemium — free case setup; one-time fee unlocks all downloads and AI tools.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0d6b5e"/>
                <w:sz w:val="21"/>
                <w:szCs w:val="21"/>
              </w:rPr>
              <w:t xml:space="preserve">Market:     ~1.5 million California small claims filings per year with no quality digital tools.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0d6b5e"/>
                <w:sz w:val="21"/>
                <w:szCs w:val="21"/>
              </w:rPr>
              <w:t xml:space="preserve">Revenue:    $79–$159 per activated case (one-time). Approx. 85% gross margin.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0d6b5e"/>
                <w:sz w:val="21"/>
                <w:szCs w:val="21"/>
              </w:rPr>
              <w:t xml:space="preserve">Live URL:   smallclaimsgenie.com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The platform is built for users who have never navigated a court system. Every screen uses plain language, step-by-step guidance, and AI assistants that explain each action in context. The primary target demographic is lower-income individuals and micro-businesses who cannot justify the $350–$500/hour cost of an attorney for a claim worth $2,000–$10,000 — yet stand to lose that full amount without proper preparation.</w:t>
      </w:r>
    </w:p>
    <w:p>
      <w:r>
        <w:br w:type="page"/>
      </w:r>
    </w:p>
    <w:p>
      <w:pPr>
        <w:spacing w:after="160" w:before="400"/>
      </w:pPr>
      <w:r>
        <w:rPr>
          <w:rFonts w:ascii="Calibri" w:cs="Calibri" w:eastAsia="Calibri" w:hAnsi="Calibri"/>
          <w:b/>
          <w:bCs/>
          <w:color w:val="0d6b5e"/>
          <w:sz w:val="40"/>
          <w:szCs w:val="40"/>
        </w:rPr>
        <w:t xml:space="preserve">2.  Market Opportunity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374151"/>
          <w:sz w:val="30"/>
          <w:szCs w:val="30"/>
        </w:rPr>
        <w:t xml:space="preserve">2.1  The Problem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California's small claims courts process over 1.5 million cases annually — disputes up to $12,500 for individuals, $6,250 for most businesses.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Most claimants arrive underprepared: wrong forms, missing evidence, improper service of process. The result: dismissals, continuances, and lost judgments.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Legal aid is chronically underfunded. Hiring an attorney costs more than many claims are worth.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Existing online resources are fragmented, generic, and not personalized to the user's specific facts.</w:t>
      </w:r>
    </w:p>
    <w:p>
      <w:pPr>
        <w:spacing w:after="100" w:before="0"/>
      </w:pPr>
      <w:r>
        <w:t xml:space="preserve"/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374151"/>
          <w:sz w:val="30"/>
          <w:szCs w:val="30"/>
        </w:rPr>
        <w:t xml:space="preserve">2.2  Market Sizing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d6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Metric</w:t>
            </w:r>
          </w:p>
        </w:tc>
        <w:tc>
          <w:tcPr>
            <w:shd w:fill="0d6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Detail</w:t>
            </w:r>
          </w:p>
        </w:tc>
      </w:tr>
      <w:tr>
        <w:tc>
          <w:tcPr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21"/>
                <w:szCs w:val="21"/>
              </w:rPr>
              <w:t xml:space="preserve">Total Addressable Market</w:t>
            </w:r>
          </w:p>
        </w:tc>
        <w:tc>
          <w:tcPr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~1.5M CA filings/year × $89 blended price = ~$133M annual opportunity in California alone</w:t>
            </w:r>
          </w:p>
        </w:tc>
      </w:tr>
      <w:tr>
        <w:tc>
          <w:tcPr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21"/>
                <w:szCs w:val="21"/>
              </w:rPr>
              <w:t xml:space="preserve">Serviceable Market (Year 1)</w:t>
            </w:r>
          </w:p>
        </w:tc>
        <w:tc>
          <w:tcPr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Tech-accessible filers: est. 15–20% of total = ~250,000 addressable users annually</w:t>
            </w:r>
          </w:p>
        </w:tc>
      </w:tr>
      <w:tr>
        <w:tc>
          <w:tcPr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21"/>
                <w:szCs w:val="21"/>
              </w:rPr>
              <w:t xml:space="preserve">Revenue Target (Year 1)</w:t>
            </w:r>
          </w:p>
        </w:tc>
        <w:tc>
          <w:tcPr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2,500 activated cases = ~$225K at $90 blended ARPU</w:t>
            </w:r>
          </w:p>
        </w:tc>
      </w:tr>
      <w:tr>
        <w:tc>
          <w:tcPr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21"/>
                <w:szCs w:val="21"/>
              </w:rPr>
              <w:t xml:space="preserve">Expansion Path</w:t>
            </w:r>
          </w:p>
        </w:tc>
        <w:tc>
          <w:tcPr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Additional states: TX, FL, NY — similar small claims systems, large populations — Years 2–3</w:t>
            </w:r>
          </w:p>
        </w:tc>
      </w:tr>
      <w:tr>
        <w:tc>
          <w:tcPr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21"/>
                <w:szCs w:val="21"/>
              </w:rPr>
              <w:t xml:space="preserve">Add-on Revenue</w:t>
            </w:r>
          </w:p>
        </w:tc>
        <w:tc>
          <w:tcPr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Paralegal Review upsell at +$159 per case — human review + 30-min consultation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374151"/>
          <w:sz w:val="30"/>
          <w:szCs w:val="30"/>
        </w:rPr>
        <w:t xml:space="preserve">2.3  Competitive Landscape</w:t>
      </w: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No competitor offers an end-to-end, AI-powered small claims assistant that generates pre-filled official California court forms. The nearest alternatives: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DoNotPay / Joshua AI: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Broad consumer legal chatbot — not California-specific, no court form generation.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LegalZoom: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Generic document preparation only — no guided workflow, no AI coaching, no hearing prep.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County Court Websites: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Blank PDF downloads with zero guidance or pre-filling.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Local Legal Aid Clinics: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Appointment-based, chronically understaffed, income-restricted, no after-hours access.</w:t>
      </w:r>
    </w:p>
    <w:p>
      <w:pPr>
        <w:spacing w:after="100" w:before="0"/>
      </w:pPr>
      <w:r>
        <w:t xml:space="preserve"/>
      </w: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Small Claims Genie's moat: official form generation + AI case coaching + hearing simulation + mobile-first UX — all in one workflow at a price below the value of most claims.</w:t>
      </w:r>
    </w:p>
    <w:p>
      <w:r>
        <w:br w:type="page"/>
      </w:r>
    </w:p>
    <w:p>
      <w:pPr>
        <w:spacing w:after="160" w:before="400"/>
      </w:pPr>
      <w:r>
        <w:rPr>
          <w:rFonts w:ascii="Calibri" w:cs="Calibri" w:eastAsia="Calibri" w:hAnsi="Calibri"/>
          <w:b/>
          <w:bCs/>
          <w:color w:val="0d6b5e"/>
          <w:sz w:val="40"/>
          <w:szCs w:val="40"/>
        </w:rPr>
        <w:t xml:space="preserve">3.  How the Application Works — End-to-End Flow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374151"/>
          <w:sz w:val="30"/>
          <w:szCs w:val="30"/>
        </w:rPr>
        <w:t xml:space="preserve">3.1  The Seven-Phase User Journey</w:t>
      </w: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The platform guides a user through seven sequential phases from account creation to walking into the courtroom prepared. Phases 1–3 are free. Phase 4 onward requires a one-time payment.</w:t>
      </w:r>
    </w:p>
    <w:p>
      <w:pPr>
        <w:spacing w:after="100" w:before="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8%"/>
            <w:shd w:fill="0d6b5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shd w:fill="e6f4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6b5e"/>
                <w:sz w:val="23"/>
                <w:szCs w:val="23"/>
              </w:rPr>
              <w:t xml:space="preserve">Sign Up &amp; Create a Case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User creates a secure account. Selects case type (Individual vs. Business) and starts intake. No payment required at this stage.</w:t>
            </w:r>
          </w:p>
        </w:tc>
      </w:tr>
    </w:tbl>
    <w:p>
      <w:pPr>
        <w:spacing w:after="30" w:before="30"/>
        <w:jc w:val="center"/>
      </w:pPr>
      <w:r>
        <w:rPr>
          <w:color w:val="0d6b5e"/>
          <w:sz w:val="24"/>
          <w:szCs w:val="24"/>
        </w:rPr>
        <w:t xml:space="preserve">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8%"/>
            <w:shd w:fill="0d6b5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shd w:fill="e6f4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6b5e"/>
                <w:sz w:val="23"/>
                <w:szCs w:val="23"/>
              </w:rPr>
              <w:t xml:space="preserve">7-Step Guided Intake  [FREE]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Collects parties, addresses, claim amount, incident date, court county, and dispute description. Auto-saved to database — resume from any device.</w:t>
            </w:r>
          </w:p>
        </w:tc>
      </w:tr>
    </w:tbl>
    <w:p>
      <w:pPr>
        <w:spacing w:after="30" w:before="30"/>
        <w:jc w:val="center"/>
      </w:pPr>
      <w:r>
        <w:rPr>
          <w:color w:val="0d6b5e"/>
          <w:sz w:val="24"/>
          <w:szCs w:val="24"/>
        </w:rPr>
        <w:t xml:space="preserve">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8%"/>
            <w:shd w:fill="0d6b5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shd w:fill="e6f4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6b5e"/>
                <w:sz w:val="23"/>
                <w:szCs w:val="23"/>
              </w:rPr>
              <w:t xml:space="preserve">Upload Evidence &amp; OCR  [FREE]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User uploads receipts, contracts, photos, communications. AI OCR extracts text from every file. AI generates a custom evidence checklist based on the case facts.</w:t>
            </w:r>
          </w:p>
        </w:tc>
      </w:tr>
    </w:tbl>
    <w:p>
      <w:pPr>
        <w:spacing w:after="30" w:before="30"/>
        <w:jc w:val="center"/>
      </w:pPr>
      <w:r>
        <w:rPr>
          <w:color w:val="0d6b5e"/>
          <w:sz w:val="24"/>
          <w:szCs w:val="24"/>
        </w:rPr>
        <w:t xml:space="preserve">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8%"/>
            <w:shd w:fill="0d6b5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shd w:fill="e6f4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6b5e"/>
                <w:sz w:val="23"/>
                <w:szCs w:val="23"/>
              </w:rPr>
              <w:t xml:space="preserve">Send a Demand Letter  [PAYWALL]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AI drafts a pre-litigation demand letter in the user's chosen tone (Formal / Firm / Friendly). First download attempt triggers the payment prompt.</w:t>
            </w:r>
          </w:p>
        </w:tc>
      </w:tr>
    </w:tbl>
    <w:p>
      <w:pPr>
        <w:spacing w:after="30" w:before="30"/>
        <w:jc w:val="center"/>
      </w:pPr>
      <w:r>
        <w:rPr>
          <w:color w:val="0d6b5e"/>
          <w:sz w:val="24"/>
          <w:szCs w:val="24"/>
        </w:rPr>
        <w:t xml:space="preserve">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8%"/>
            <w:shd w:fill="0d6b5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5</w:t>
            </w:r>
          </w:p>
        </w:tc>
        <w:tc>
          <w:tcPr>
            <w:shd w:fill="e6f4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6b5e"/>
                <w:sz w:val="23"/>
                <w:szCs w:val="23"/>
              </w:rPr>
              <w:t xml:space="preserve">Generate Court Forms  [PAYWALL]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Pre-fills all 11 California Judicial Council forms with intake data. User opens in browser, edits blank fields, saves to their computer — no re-entry.</w:t>
            </w:r>
          </w:p>
        </w:tc>
      </w:tr>
    </w:tbl>
    <w:p>
      <w:pPr>
        <w:spacing w:after="30" w:before="30"/>
        <w:jc w:val="center"/>
      </w:pPr>
      <w:r>
        <w:rPr>
          <w:color w:val="0d6b5e"/>
          <w:sz w:val="24"/>
          <w:szCs w:val="24"/>
        </w:rPr>
        <w:t xml:space="preserve">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8%"/>
            <w:shd w:fill="0d6b5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6</w:t>
            </w:r>
          </w:p>
        </w:tc>
        <w:tc>
          <w:tcPr>
            <w:shd w:fill="e6f4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6b5e"/>
                <w:sz w:val="23"/>
                <w:szCs w:val="23"/>
              </w:rPr>
              <w:t xml:space="preserve">AI Case Advisor  [PAYWALL]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Context-aware AI chat trained on the user's intake data and all uploaded documents. Answers strategy questions, explains risks, and anticipates defendant's defenses.</w:t>
            </w:r>
          </w:p>
        </w:tc>
      </w:tr>
    </w:tbl>
    <w:p>
      <w:pPr>
        <w:spacing w:after="30" w:before="30"/>
        <w:jc w:val="center"/>
      </w:pPr>
      <w:r>
        <w:rPr>
          <w:color w:val="0d6b5e"/>
          <w:sz w:val="24"/>
          <w:szCs w:val="24"/>
        </w:rPr>
        <w:t xml:space="preserve">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8%"/>
            <w:shd w:fill="0d6b5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7</w:t>
            </w:r>
          </w:p>
        </w:tc>
        <w:tc>
          <w:tcPr>
            <w:shd w:fill="e6f4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6b5e"/>
                <w:sz w:val="23"/>
                <w:szCs w:val="23"/>
              </w:rPr>
              <w:t xml:space="preserve">Hearing Prep &amp; Mock Trial  [PAYWALL]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AI generates an opening statement script. User practices with an AI mock judge asking real small claims courtroom questions. Voice input supported.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374151"/>
          <w:sz w:val="30"/>
          <w:szCs w:val="30"/>
        </w:rPr>
        <w:t xml:space="preserve">3.2  Paywall Design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45309" w:sz="6"/>
              <w:left w:val="single" w:color="b45309" w:sz="6"/>
              <w:bottom w:val="single" w:color="b45309" w:sz="6"/>
              <w:right w:val="single" w:color="b45309" w:sz="6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b45309"/>
                <w:sz w:val="21"/>
                <w:szCs w:val="21"/>
              </w:rPr>
              <w:t xml:space="preserve">FREE:  Account, 7-step intake, document uploads + OCR, readiness score, AI evidence checklist, case dashboard.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b45309"/>
                <w:sz w:val="21"/>
                <w:szCs w:val="21"/>
              </w:rPr>
              <w:t xml:space="preserve">PAID:  All PDF downloads (court forms + demand letter), AI chat export, mock hearing, opening statement script.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b45309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b45309"/>
                <w:sz w:val="21"/>
                <w:szCs w:val="21"/>
              </w:rPr>
              <w:t xml:space="preserve">The paywall triggers only on the first download attempt — a smooth upgrade modal, not a hard block.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b45309"/>
                <w:sz w:val="21"/>
                <w:szCs w:val="21"/>
              </w:rPr>
              <w:t xml:space="preserve">Users invest 10–15 minutes completing their case before seeing the price, dramatically increasing conversion.</w:t>
            </w:r>
          </w:p>
        </w:tc>
      </w:tr>
    </w:tbl>
    <w:p>
      <w:r>
        <w:br w:type="page"/>
      </w:r>
    </w:p>
    <w:p>
      <w:pPr>
        <w:spacing w:after="160" w:before="400"/>
      </w:pPr>
      <w:r>
        <w:rPr>
          <w:rFonts w:ascii="Calibri" w:cs="Calibri" w:eastAsia="Calibri" w:hAnsi="Calibri"/>
          <w:b/>
          <w:bCs/>
          <w:color w:val="0d6b5e"/>
          <w:sz w:val="40"/>
          <w:szCs w:val="40"/>
        </w:rPr>
        <w:t xml:space="preserve">4.  Feature Set — Detailed Breakdown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374151"/>
          <w:sz w:val="30"/>
          <w:szCs w:val="30"/>
        </w:rPr>
        <w:t xml:space="preserve">4.1  Guided Intake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d6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Step</w:t>
            </w:r>
          </w:p>
        </w:tc>
        <w:tc>
          <w:tcPr>
            <w:shd w:fill="0d6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Content / Purpose</w:t>
            </w:r>
          </w:p>
        </w:tc>
      </w:tr>
      <w:tr>
        <w:tc>
          <w:tcPr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21"/>
                <w:szCs w:val="21"/>
              </w:rPr>
              <w:t xml:space="preserve">Step 1 — The Parties</w:t>
            </w:r>
          </w:p>
        </w:tc>
        <w:tc>
          <w:tcPr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Plaintiff and defendant names, addresses, entity types (individual / business / DBA), phone numbers.</w:t>
            </w:r>
          </w:p>
        </w:tc>
      </w:tr>
      <w:tr>
        <w:tc>
          <w:tcPr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21"/>
                <w:szCs w:val="21"/>
              </w:rPr>
              <w:t xml:space="preserve">Step 2 — The Claim</w:t>
            </w:r>
          </w:p>
        </w:tc>
        <w:tc>
          <w:tcPr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Dollar amount, incident date, court county, plain-English description of the dispute.</w:t>
            </w:r>
          </w:p>
        </w:tc>
      </w:tr>
      <w:tr>
        <w:tc>
          <w:tcPr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21"/>
                <w:szCs w:val="21"/>
              </w:rPr>
              <w:t xml:space="preserve">Step 3 — Evidence</w:t>
            </w:r>
          </w:p>
        </w:tc>
        <w:tc>
          <w:tcPr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Primary document upload portal. Triggers AI evidence checklist generation from case facts.</w:t>
            </w:r>
          </w:p>
        </w:tc>
      </w:tr>
      <w:tr>
        <w:tc>
          <w:tcPr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21"/>
                <w:szCs w:val="21"/>
              </w:rPr>
              <w:t xml:space="preserve">Step 4 — Demand Letter</w:t>
            </w:r>
          </w:p>
        </w:tc>
        <w:tc>
          <w:tcPr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Option to generate and send a pre-litigation demand letter before filing with the court.</w:t>
            </w:r>
          </w:p>
        </w:tc>
      </w:tr>
      <w:tr>
        <w:tc>
          <w:tcPr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21"/>
                <w:szCs w:val="21"/>
              </w:rPr>
              <w:t xml:space="preserve">Step 5 — AI Review</w:t>
            </w:r>
          </w:p>
        </w:tc>
        <w:tc>
          <w:tcPr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First AI case analysis: strengths, risks, and recommended next steps.</w:t>
            </w:r>
          </w:p>
        </w:tc>
      </w:tr>
      <w:tr>
        <w:tc>
          <w:tcPr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21"/>
                <w:szCs w:val="21"/>
              </w:rPr>
              <w:t xml:space="preserve">Step 6 — Court Forms</w:t>
            </w:r>
          </w:p>
        </w:tc>
        <w:tc>
          <w:tcPr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SC-100 and supporting forms generated and reviewed in-browser.</w:t>
            </w:r>
          </w:p>
        </w:tc>
      </w:tr>
      <w:tr>
        <w:tc>
          <w:tcPr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21"/>
                <w:szCs w:val="21"/>
              </w:rPr>
              <w:t xml:space="preserve">Step 7 — Hearing Prep</w:t>
            </w:r>
          </w:p>
        </w:tc>
        <w:tc>
          <w:tcPr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Opening statement and mock hearing practice before the actual court date.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374151"/>
          <w:sz w:val="30"/>
          <w:szCs w:val="30"/>
        </w:rPr>
        <w:t xml:space="preserve">4.2  Case Dashboard &amp; Readiness Score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All active cases listed with status badges: Draft, Ready to File, Filed, Hearing Scheduled.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Readiness Score (0–100): weighted metric — intake completeness 60 pts, document uploads 30 pts, demand letter sent 10 pts.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Quick actions: Resume, Duplicate, or Delete. Progress bar drives users back to complete missing steps.</w:t>
      </w:r>
    </w:p>
    <w:p>
      <w:pPr>
        <w:spacing w:after="100" w:before="0"/>
      </w:pPr>
      <w:r>
        <w:t xml:space="preserve"/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374151"/>
          <w:sz w:val="30"/>
          <w:szCs w:val="30"/>
        </w:rPr>
        <w:t xml:space="preserve">4.3  Document Management &amp; OCR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Secure cloud upload (Google Cloud Storage) for PDFs, images, Word documents, and common file types.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Automatic OCR via OpenAI Vision API — text extracted from every file, stored for AI context.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AI Evidence Checklist: GPT-4 analyzes case facts and generates a prioritized list of recommended supporting documents.</w:t>
      </w:r>
    </w:p>
    <w:p>
      <w:pPr>
        <w:spacing w:after="100" w:before="0"/>
      </w:pPr>
      <w:r>
        <w:t xml:space="preserve"/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374151"/>
          <w:sz w:val="30"/>
          <w:szCs w:val="30"/>
        </w:rPr>
        <w:t xml:space="preserve">4.4  AI Case Advisor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Persistent chat, context-aware of intake data AND all OCR-extracted document text.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Streaming responses via Server-Sent Events — answers appear word-by-word for a natural conversational feel.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One-tap suggested questions: 'What are my strongest arguments?', 'What defenses might the other side use?'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Rate-limited to 30 requests/hour per user. Full transcript exportable as a Word document.</w:t>
      </w:r>
    </w:p>
    <w:p>
      <w:pPr>
        <w:spacing w:after="100" w:before="0"/>
      </w:pPr>
      <w:r>
        <w:t xml:space="preserve"/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374151"/>
          <w:sz w:val="30"/>
          <w:szCs w:val="30"/>
        </w:rPr>
        <w:t xml:space="preserve">4.5  Demand Letter Generator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Three tones: Formal (professional), Firm (assertive, references legal remedies), Friendly (neighbor / vendor disputes).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References user's specific facts: dollar amount, incident date, defendant name, response deadline.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Downloadable PDF. System records send history — feeds Readiness Score and court declaration.</w:t>
      </w:r>
    </w:p>
    <w:p>
      <w:pPr>
        <w:spacing w:after="100" w:before="0"/>
      </w:pPr>
      <w:r>
        <w:t xml:space="preserve"/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374151"/>
          <w:sz w:val="30"/>
          <w:szCs w:val="30"/>
        </w:rPr>
        <w:t xml:space="preserve">4.6  Court Forms — Pre-Filled PDF Generator</w:t>
      </w: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All 11 official California Judicial Council forms are pre-filled from intake data. Users open in browser, edit remaining blank fields in the PDF, save locally — zero re-entry.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d6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Form</w:t>
            </w:r>
          </w:p>
        </w:tc>
        <w:tc>
          <w:tcPr>
            <w:shd w:fill="0d6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Purpose &amp; Pre-Fill</w:t>
            </w:r>
          </w:p>
        </w:tc>
      </w:tr>
      <w:tr>
        <w:tc>
          <w:tcPr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21"/>
                <w:szCs w:val="21"/>
              </w:rPr>
              <w:t xml:space="preserve">SC-100</w:t>
            </w:r>
          </w:p>
        </w:tc>
        <w:tc>
          <w:tcPr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Plaintiff's Claim — primary filing form with amount, parties, and facts.</w:t>
            </w:r>
          </w:p>
        </w:tc>
      </w:tr>
      <w:tr>
        <w:tc>
          <w:tcPr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21"/>
                <w:szCs w:val="21"/>
              </w:rPr>
              <w:t xml:space="preserve">SC-100A</w:t>
            </w:r>
          </w:p>
        </w:tc>
        <w:tc>
          <w:tcPr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Additional parties attachment for 3+ plaintiffs or defendants.</w:t>
            </w:r>
          </w:p>
        </w:tc>
      </w:tr>
      <w:tr>
        <w:tc>
          <w:tcPr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21"/>
                <w:szCs w:val="21"/>
              </w:rPr>
              <w:t xml:space="preserve">SC-103</w:t>
            </w:r>
          </w:p>
        </w:tc>
        <w:tc>
          <w:tcPr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Fictitious Business Name — required when suing or being sued under a DBA.</w:t>
            </w:r>
          </w:p>
        </w:tc>
      </w:tr>
      <w:tr>
        <w:tc>
          <w:tcPr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21"/>
                <w:szCs w:val="21"/>
              </w:rPr>
              <w:t xml:space="preserve">SC-104</w:t>
            </w:r>
          </w:p>
        </w:tc>
        <w:tc>
          <w:tcPr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Proof of Service (personal delivery) — pre-filled with defendant info and court details.</w:t>
            </w:r>
          </w:p>
        </w:tc>
      </w:tr>
      <w:tr>
        <w:tc>
          <w:tcPr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21"/>
                <w:szCs w:val="21"/>
              </w:rPr>
              <w:t xml:space="preserve">SC-105</w:t>
            </w:r>
          </w:p>
        </w:tc>
        <w:tc>
          <w:tcPr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Request for Court Order — for procedural motions before or after trial.</w:t>
            </w:r>
          </w:p>
        </w:tc>
      </w:tr>
      <w:tr>
        <w:tc>
          <w:tcPr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21"/>
                <w:szCs w:val="21"/>
              </w:rPr>
              <w:t xml:space="preserve">SC-112A</w:t>
            </w:r>
          </w:p>
        </w:tc>
        <w:tc>
          <w:tcPr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Proof of Service by Mail — for documents served by mail after initial filing.</w:t>
            </w:r>
          </w:p>
        </w:tc>
      </w:tr>
      <w:tr>
        <w:tc>
          <w:tcPr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21"/>
                <w:szCs w:val="21"/>
              </w:rPr>
              <w:t xml:space="preserve">SC-120</w:t>
            </w:r>
          </w:p>
        </w:tc>
        <w:tc>
          <w:tcPr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Defendant's Claim — counter-claim form for defendants filing their own action.</w:t>
            </w:r>
          </w:p>
        </w:tc>
      </w:tr>
      <w:tr>
        <w:tc>
          <w:tcPr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21"/>
                <w:szCs w:val="21"/>
              </w:rPr>
              <w:t xml:space="preserve">SC-140</w:t>
            </w:r>
          </w:p>
        </w:tc>
        <w:tc>
          <w:tcPr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Notice of Appeal — to escalate a judgment to superior court.</w:t>
            </w:r>
          </w:p>
        </w:tc>
      </w:tr>
      <w:tr>
        <w:tc>
          <w:tcPr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21"/>
                <w:szCs w:val="21"/>
              </w:rPr>
              <w:t xml:space="preserve">SC-150</w:t>
            </w:r>
          </w:p>
        </w:tc>
        <w:tc>
          <w:tcPr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Request to Postpone Trial — reschedule hearing with documented reason.</w:t>
            </w:r>
          </w:p>
        </w:tc>
      </w:tr>
      <w:tr>
        <w:tc>
          <w:tcPr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21"/>
                <w:szCs w:val="21"/>
              </w:rPr>
              <w:t xml:space="preserve">MC-030</w:t>
            </w:r>
          </w:p>
        </w:tc>
        <w:tc>
          <w:tcPr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Declaration — AI auto-drafts the full sworn narrative with exhibit ordering.</w:t>
            </w:r>
          </w:p>
        </w:tc>
      </w:tr>
      <w:tr>
        <w:tc>
          <w:tcPr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21"/>
                <w:szCs w:val="21"/>
              </w:rPr>
              <w:t xml:space="preserve">FW-001</w:t>
            </w:r>
          </w:p>
        </w:tc>
        <w:tc>
          <w:tcPr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Request to Waive Court Fees — pre-filled; user completes the eligibility section.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374151"/>
          <w:sz w:val="30"/>
          <w:szCs w:val="30"/>
        </w:rPr>
        <w:t xml:space="preserve">4.7  AI Declaration (MC-030) — Signature Feature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User selects which uploaded documents to include as exhibits.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AI drafts the full sworn declaration narrative, introducing exhibits in legally effective order (strongest evidence first).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Exhibit letters (A, B, C…) assigned in first-mention order. UI checklist auto-reorders to match AI sequence.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Downloaded PDF appends all exhibit documents as tabbed attachments — court-ready in a single file.</w:t>
      </w:r>
    </w:p>
    <w:p>
      <w:pPr>
        <w:spacing w:after="100" w:before="0"/>
      </w:pPr>
      <w:r>
        <w:t xml:space="preserve"/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374151"/>
          <w:sz w:val="30"/>
          <w:szCs w:val="30"/>
        </w:rPr>
        <w:t xml:space="preserve">4.8  Hearing Preparation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Opening Statement Builder: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AI generates a structured 2–3 minute courtroom script tailored to the user's facts. Downloadable as a reference card.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Mock Hearing (AI Judge):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AI plays a small claims judge, asking realistic questions. User practices under simulated pressure before the real hearing.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Voice Input: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Push-to-talk recording via Whisper audio transcription for hands-free practice on mobile.</w:t>
      </w:r>
    </w:p>
    <w:p>
      <w:pPr>
        <w:spacing w:after="100" w:before="0"/>
      </w:pPr>
      <w:r>
        <w:t xml:space="preserve"/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374151"/>
          <w:sz w:val="30"/>
          <w:szCs w:val="30"/>
        </w:rPr>
        <w:t xml:space="preserve">4.9  Deadlines &amp; Automated Reminders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Legal deadline calculator keyed to incident date and scheduled hearing date.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Court response tracking: case number, hearing date, time, department, and judge — entered once, referenced everywhere.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Automated emails via Resend: 30 days, 14 days, 7 days, 3 days, and 1 day before hearing.</w:t>
      </w:r>
    </w:p>
    <w:p>
      <w:pPr>
        <w:spacing w:after="100" w:before="0"/>
      </w:pPr>
      <w:r>
        <w:t xml:space="preserve"/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374151"/>
          <w:sz w:val="30"/>
          <w:szCs w:val="30"/>
        </w:rPr>
        <w:t xml:space="preserve">4.10  Help Genie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Separate AI assistant — distinct from the Case Advisor — that answers questions about navigating the platform.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Available on every page via a persistent help button. Knows the full UI structure and all features.</w:t>
      </w:r>
    </w:p>
    <w:p>
      <w:r>
        <w:br w:type="page"/>
      </w:r>
    </w:p>
    <w:p>
      <w:pPr>
        <w:spacing w:after="160" w:before="400"/>
      </w:pPr>
      <w:r>
        <w:rPr>
          <w:rFonts w:ascii="Calibri" w:cs="Calibri" w:eastAsia="Calibri" w:hAnsi="Calibri"/>
          <w:b/>
          <w:bCs/>
          <w:color w:val="0d6b5e"/>
          <w:sz w:val="40"/>
          <w:szCs w:val="40"/>
        </w:rPr>
        <w:t xml:space="preserve">5.  Technical Architecture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374151"/>
          <w:sz w:val="30"/>
          <w:szCs w:val="30"/>
        </w:rPr>
        <w:t xml:space="preserve">5.1  Technology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d6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Layer</w:t>
            </w:r>
          </w:p>
        </w:tc>
        <w:tc>
          <w:tcPr>
            <w:shd w:fill="0d6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Technology</w:t>
            </w:r>
          </w:p>
        </w:tc>
      </w:tr>
      <w:tr>
        <w:tc>
          <w:tcPr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21"/>
                <w:szCs w:val="21"/>
              </w:rPr>
              <w:t xml:space="preserve">Frontend</w:t>
            </w:r>
          </w:p>
        </w:tc>
        <w:tc>
          <w:tcPr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React 18 + Vite, TypeScript, Tailwind CSS, Shadcn UI component library</w:t>
            </w:r>
          </w:p>
        </w:tc>
      </w:tr>
      <w:tr>
        <w:tc>
          <w:tcPr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21"/>
                <w:szCs w:val="21"/>
              </w:rPr>
              <w:t xml:space="preserve">Backend</w:t>
            </w:r>
          </w:p>
        </w:tc>
        <w:tc>
          <w:tcPr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Node.js 24, Express 5, TypeScript 5.9, esbuild production bundler</w:t>
            </w:r>
          </w:p>
        </w:tc>
      </w:tr>
      <w:tr>
        <w:tc>
          <w:tcPr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21"/>
                <w:szCs w:val="21"/>
              </w:rPr>
              <w:t xml:space="preserve">Database</w:t>
            </w:r>
          </w:p>
        </w:tc>
        <w:tc>
          <w:tcPr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PostgreSQL with Drizzle ORM — separate staging and production instances</w:t>
            </w:r>
          </w:p>
        </w:tc>
      </w:tr>
      <w:tr>
        <w:tc>
          <w:tcPr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21"/>
                <w:szCs w:val="21"/>
              </w:rPr>
              <w:t xml:space="preserve">Authentication</w:t>
            </w:r>
          </w:p>
        </w:tc>
        <w:tc>
          <w:tcPr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Clerk — JWT-based, separate development and production tenants</w:t>
            </w:r>
          </w:p>
        </w:tc>
      </w:tr>
      <w:tr>
        <w:tc>
          <w:tcPr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21"/>
                <w:szCs w:val="21"/>
              </w:rPr>
              <w:t xml:space="preserve">AI / LLM</w:t>
            </w:r>
          </w:p>
        </w:tc>
        <w:tc>
          <w:tcPr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OpenAI: GPT-4o-mini (chat/forms), Whisper (voice transcription), Vision API (OCR)</w:t>
            </w:r>
          </w:p>
        </w:tc>
      </w:tr>
      <w:tr>
        <w:tc>
          <w:tcPr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21"/>
                <w:szCs w:val="21"/>
              </w:rPr>
              <w:t xml:space="preserve">PDF Generation</w:t>
            </w:r>
          </w:p>
        </w:tc>
        <w:tc>
          <w:tcPr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pdf-lib AcroForm filling for all 11 forms; Chromium warm-pool for legacy rendering</w:t>
            </w:r>
          </w:p>
        </w:tc>
      </w:tr>
      <w:tr>
        <w:tc>
          <w:tcPr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21"/>
                <w:szCs w:val="21"/>
              </w:rPr>
              <w:t xml:space="preserve">File Storage</w:t>
            </w:r>
          </w:p>
        </w:tc>
        <w:tc>
          <w:tcPr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Google Cloud Storage — presigned URL direct browser upload (never through API)</w:t>
            </w:r>
          </w:p>
        </w:tc>
      </w:tr>
      <w:tr>
        <w:tc>
          <w:tcPr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21"/>
                <w:szCs w:val="21"/>
              </w:rPr>
              <w:t xml:space="preserve">Email</w:t>
            </w:r>
          </w:p>
        </w:tc>
        <w:tc>
          <w:tcPr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Resend API — transactional notifications and tiered hearing reminders</w:t>
            </w:r>
          </w:p>
        </w:tc>
      </w:tr>
      <w:tr>
        <w:tc>
          <w:tcPr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21"/>
                <w:szCs w:val="21"/>
              </w:rPr>
              <w:t xml:space="preserve">Payments</w:t>
            </w:r>
          </w:p>
        </w:tc>
        <w:tc>
          <w:tcPr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Stripe — one-time charges, product catalog, real-time webhook sync</w:t>
            </w:r>
          </w:p>
        </w:tc>
      </w:tr>
      <w:tr>
        <w:tc>
          <w:tcPr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21"/>
                <w:szCs w:val="21"/>
              </w:rPr>
              <w:t xml:space="preserve">API Contract</w:t>
            </w:r>
          </w:p>
        </w:tc>
        <w:tc>
          <w:tcPr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OpenAPI spec → Orval codegen → React Query hooks + Zod validation schemas</w:t>
            </w:r>
          </w:p>
        </w:tc>
      </w:tr>
      <w:tr>
        <w:tc>
          <w:tcPr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21"/>
                <w:szCs w:val="21"/>
              </w:rPr>
              <w:t xml:space="preserve">Hosting</w:t>
            </w:r>
          </w:p>
        </w:tc>
        <w:tc>
          <w:tcPr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Replit — containerized pnpm monorepo, path-based reverse proxy routing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374151"/>
          <w:sz w:val="30"/>
          <w:szCs w:val="30"/>
        </w:rPr>
        <w:t xml:space="preserve">5.2  System Architecture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d6b5e" w:sz="6"/>
              <w:left w:val="single" w:color="0d6b5e" w:sz="6"/>
              <w:bottom w:val="single" w:color="0d6b5e" w:sz="6"/>
              <w:right w:val="single" w:color="0d6b5e" w:sz="6"/>
            </w:tcBorders>
            <w:shd w:fill="e6f4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0d6b5e"/>
                <w:sz w:val="21"/>
                <w:szCs w:val="21"/>
              </w:rPr>
              <w:t xml:space="preserve">  ┌─────────────────────────────────────────────────────────────────┐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0d6b5e"/>
                <w:sz w:val="21"/>
                <w:szCs w:val="21"/>
              </w:rPr>
              <w:t xml:space="preserve">  │                 USER BROWSER / MOBILE DEVICE                    │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0d6b5e"/>
                <w:sz w:val="21"/>
                <w:szCs w:val="21"/>
              </w:rPr>
              <w:t xml:space="preserve">  │       React + Vite SPA          Clerk Auth (JWT)                │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0d6b5e"/>
                <w:sz w:val="21"/>
                <w:szCs w:val="21"/>
              </w:rPr>
              <w:t xml:space="preserve">  └────────────────────────┬────────────────────────────────────────┘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0d6b5e"/>
                <w:sz w:val="21"/>
                <w:szCs w:val="21"/>
              </w:rPr>
              <w:t xml:space="preserve">                           │  HTTPS  (path-based reverse proxy)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0d6b5e"/>
                <w:sz w:val="21"/>
                <w:szCs w:val="21"/>
              </w:rPr>
              <w:t xml:space="preserve">  ┌────────────────────────▼────────────────────────────────────────┐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0d6b5e"/>
                <w:sz w:val="21"/>
                <w:szCs w:val="21"/>
              </w:rPr>
              <w:t xml:space="preserve">  │              EXPRESS 5 API SERVER  (Node.js 24)                 │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0d6b5e"/>
                <w:sz w:val="21"/>
                <w:szCs w:val="21"/>
              </w:rPr>
              <w:t xml:space="preserve">  │   REST Routes /api/*    Drizzle ORM    Stripe    AI Rate Limit  │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0d6b5e"/>
                <w:sz w:val="21"/>
                <w:szCs w:val="21"/>
              </w:rPr>
              <w:t xml:space="preserve">  └────────┬──────────────────────┬────────────────────────────────┘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0d6b5e"/>
                <w:sz w:val="21"/>
                <w:szCs w:val="21"/>
              </w:rPr>
              <w:t xml:space="preserve">           │                      │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0d6b5e"/>
                <w:sz w:val="21"/>
                <w:szCs w:val="21"/>
              </w:rPr>
              <w:t xml:space="preserve">  ┌────────▼──────┐   ┌───────────▼──┐   ┌──────────────┐  ┌──────────────┐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0d6b5e"/>
                <w:sz w:val="21"/>
                <w:szCs w:val="21"/>
              </w:rPr>
              <w:t xml:space="preserve">  │  OpenAI API   │   │  PostgreSQL   │   │  Google Cloud│  │  Resend Email│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0d6b5e"/>
                <w:sz w:val="21"/>
                <w:szCs w:val="21"/>
              </w:rPr>
              <w:t xml:space="preserve">  │  GPT-4o-mini  │   │  Database     │   │  Storage     │  │  Reminders   │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0d6b5e"/>
                <w:sz w:val="21"/>
                <w:szCs w:val="21"/>
              </w:rPr>
              <w:t xml:space="preserve">  │  Whisper STT  │   │  (Drizzle)    │   │  (GCS)       │  │              │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0d6b5e"/>
                <w:sz w:val="21"/>
                <w:szCs w:val="21"/>
              </w:rPr>
              <w:t xml:space="preserve">  │  Vision OCR   │   └──────────────┘   └──────────────┘  └──────────────┘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0d6b5e"/>
                <w:sz w:val="21"/>
                <w:szCs w:val="21"/>
              </w:rPr>
              <w:t xml:space="preserve">  └───────────────┘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374151"/>
          <w:sz w:val="30"/>
          <w:szCs w:val="30"/>
        </w:rPr>
        <w:t xml:space="preserve">5.3  Security &amp; Compliance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All API routes protected by Clerk JWT — zero unauthenticated data access.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Row-level ownership enforced on every DB query — users can only access their own cases.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File uploads use presigned GCS URLs — files go browser-to-cloud directly, never through the API server.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FW-001 fee waiver served inline and never stored — confidentiality by design.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AI rate limiting (30 req/user/hour) on all LLM endpoints prevents abuse and controls cost.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Separate staging and production environments: different databases, Clerk tenants, and Stripe accounts.</w:t>
      </w:r>
    </w:p>
    <w:p>
      <w:pPr>
        <w:spacing w:after="100" w:before="0"/>
      </w:pPr>
      <w:r>
        <w:t xml:space="preserve"/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374151"/>
          <w:sz w:val="30"/>
          <w:szCs w:val="30"/>
        </w:rPr>
        <w:t xml:space="preserve">5.4  Scalability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Stateless API server — horizontal scaling requires no session affinity.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Chromium PDF renderer uses a pre-warmed browser pool — cold-launch cost paid once at startup, not per request.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OpenAPI contract-first design — new clients (native mobile app, partner integrations) consume the same API without backend changes.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PostgreSQL migrations are schema-diffed and applied automatically on each deployment.</w:t>
      </w:r>
    </w:p>
    <w:p>
      <w:r>
        <w:br w:type="page"/>
      </w:r>
    </w:p>
    <w:p>
      <w:pPr>
        <w:spacing w:after="160" w:before="400"/>
      </w:pPr>
      <w:r>
        <w:rPr>
          <w:rFonts w:ascii="Calibri" w:cs="Calibri" w:eastAsia="Calibri" w:hAnsi="Calibri"/>
          <w:b/>
          <w:bCs/>
          <w:color w:val="0d6b5e"/>
          <w:sz w:val="40"/>
          <w:szCs w:val="40"/>
        </w:rPr>
        <w:t xml:space="preserve">6.  Business Model &amp; Revenue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374151"/>
          <w:sz w:val="30"/>
          <w:szCs w:val="30"/>
        </w:rPr>
        <w:t xml:space="preserve">6.1  Pricing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d6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Tier</w:t>
            </w:r>
          </w:p>
        </w:tc>
        <w:tc>
          <w:tcPr>
            <w:shd w:fill="0d6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Price</w:t>
            </w:r>
          </w:p>
        </w:tc>
      </w:tr>
      <w:tr>
        <w:tc>
          <w:tcPr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21"/>
                <w:szCs w:val="21"/>
              </w:rPr>
              <w:t xml:space="preserve">Individual — Under $5,000</w:t>
            </w:r>
          </w:p>
        </w:tc>
        <w:tc>
          <w:tcPr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$79  one-time per case</w:t>
            </w:r>
          </w:p>
        </w:tc>
      </w:tr>
      <w:tr>
        <w:tc>
          <w:tcPr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21"/>
                <w:szCs w:val="21"/>
              </w:rPr>
              <w:t xml:space="preserve">Individual — $5,000 to $12,500</w:t>
            </w:r>
          </w:p>
        </w:tc>
        <w:tc>
          <w:tcPr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$99  one-time per case</w:t>
            </w:r>
          </w:p>
        </w:tc>
      </w:tr>
      <w:tr>
        <w:tc>
          <w:tcPr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21"/>
                <w:szCs w:val="21"/>
              </w:rPr>
              <w:t xml:space="preserve">Business — Under $5,000</w:t>
            </w:r>
          </w:p>
        </w:tc>
        <w:tc>
          <w:tcPr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$99  one-time per case</w:t>
            </w:r>
          </w:p>
        </w:tc>
      </w:tr>
      <w:tr>
        <w:tc>
          <w:tcPr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21"/>
                <w:szCs w:val="21"/>
              </w:rPr>
              <w:t xml:space="preserve">Business — $5,000 to $6,250</w:t>
            </w:r>
          </w:p>
        </w:tc>
        <w:tc>
          <w:tcPr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$109 one-time per case</w:t>
            </w:r>
          </w:p>
        </w:tc>
      </w:tr>
      <w:tr>
        <w:tc>
          <w:tcPr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21"/>
                <w:szCs w:val="21"/>
              </w:rPr>
              <w:t xml:space="preserve">Collection / Paralegal Professional</w:t>
            </w:r>
          </w:p>
        </w:tc>
        <w:tc>
          <w:tcPr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$89–$159+  volume and professional tiers</w:t>
            </w:r>
          </w:p>
        </w:tc>
      </w:tr>
      <w:tr>
        <w:tc>
          <w:tcPr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21"/>
                <w:szCs w:val="21"/>
              </w:rPr>
              <w:t xml:space="preserve">Paralegal Review Add-on</w:t>
            </w:r>
          </w:p>
        </w:tc>
        <w:tc>
          <w:tcPr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+$159  human expert review + 30-minute support session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d6b5e" w:sz="6"/>
              <w:left w:val="single" w:color="0d6b5e" w:sz="6"/>
              <w:bottom w:val="single" w:color="0d6b5e" w:sz="6"/>
              <w:right w:val="single" w:color="0d6b5e" w:sz="6"/>
            </w:tcBorders>
            <w:shd w:fill="e6f4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0d6b5e"/>
                <w:sz w:val="21"/>
                <w:szCs w:val="21"/>
              </w:rPr>
              <w:t xml:space="preserve">Pricing context:  A single attorney consultation costs $350–$500/hour.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0d6b5e"/>
                <w:sz w:val="21"/>
                <w:szCs w:val="21"/>
              </w:rPr>
              <w:t xml:space="preserve">Small Claims Genie charges $79–$109 for complete case preparation — a fraction of attorney cost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0d6b5e"/>
                <w:sz w:val="21"/>
                <w:szCs w:val="21"/>
              </w:rPr>
              <w:t xml:space="preserve">and typically less than 2% of the claim value. The ROI is self-evident to the user.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374151"/>
          <w:sz w:val="30"/>
          <w:szCs w:val="30"/>
        </w:rPr>
        <w:t xml:space="preserve">6.2  Revenue Projections (Illustrative)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d6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Milestone</w:t>
            </w:r>
          </w:p>
        </w:tc>
        <w:tc>
          <w:tcPr>
            <w:shd w:fill="0d6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Revenue Estimate</w:t>
            </w:r>
          </w:p>
        </w:tc>
      </w:tr>
      <w:tr>
        <w:tc>
          <w:tcPr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21"/>
                <w:szCs w:val="21"/>
              </w:rPr>
              <w:t xml:space="preserve">Year 1 — 2,500 activated cases</w:t>
            </w:r>
          </w:p>
        </w:tc>
        <w:tc>
          <w:tcPr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~$225,000 at $90 blended ARPU</w:t>
            </w:r>
          </w:p>
        </w:tc>
      </w:tr>
      <w:tr>
        <w:tc>
          <w:tcPr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21"/>
                <w:szCs w:val="21"/>
              </w:rPr>
              <w:t xml:space="preserve">Year 2 — 10,000 activated cases</w:t>
            </w:r>
          </w:p>
        </w:tc>
        <w:tc>
          <w:tcPr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~$900,000 + Paralegal Review upsell</w:t>
            </w:r>
          </w:p>
        </w:tc>
      </w:tr>
      <w:tr>
        <w:tc>
          <w:tcPr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21"/>
                <w:szCs w:val="21"/>
              </w:rPr>
              <w:t xml:space="preserve">Year 3 — 30,000+ with expansion</w:t>
            </w:r>
          </w:p>
        </w:tc>
        <w:tc>
          <w:tcPr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~$2.7M+ with Texas and Florida market entry</w:t>
            </w:r>
          </w:p>
        </w:tc>
      </w:tr>
      <w:tr>
        <w:tc>
          <w:tcPr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21"/>
                <w:szCs w:val="21"/>
              </w:rPr>
              <w:t xml:space="preserve">Paralegal Upsell at 10% attach</w:t>
            </w:r>
          </w:p>
        </w:tc>
        <w:tc>
          <w:tcPr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2,500 upsells × $159 = ~$397,500 additional by Year 2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374151"/>
          <w:sz w:val="30"/>
          <w:szCs w:val="30"/>
        </w:rPr>
        <w:t xml:space="preserve">6.3  Unit Economics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Customer Acquisition: Organic SEO targeting 'how to sue in small claims court California' — high intent, low cost. Estimated CAC: $15–$35.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AI Cost per Case: OpenAI API usage ~$0.50–$2.00 per activated case depending on document volume.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Gross Margin: ~85%+ — primary variable costs are AI API usage (~$1–2/case) and Stripe processing (2.9% + $0.30).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Churn Risk: None — one-time purchase model eliminates subscription cancellations entirely.</w:t>
      </w:r>
    </w:p>
    <w:p>
      <w:pPr>
        <w:spacing w:after="100" w:before="0"/>
      </w:pPr>
      <w:r>
        <w:t xml:space="preserve"/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374151"/>
          <w:sz w:val="30"/>
          <w:szCs w:val="30"/>
        </w:rPr>
        <w:t xml:space="preserve">6.4  Conversion Strategy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Committed Before Paying: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Users invest 10–15 minutes in intake before hitting the paywall — case is built, documents uploaded, emotionally committed.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Value Before Payment: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Readiness Score, evidence checklist, OCR, and AI analysis are all free — users see tangible value before the price appears.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Low Price Relative to Stake: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$79 to prepare a $5,000 claim is a 1.6% risk premium — an easy decision for any legitimate claimant.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No Subscription Anxiety: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One-time pricing removes the hesitation that kills subscription conversions in legal tech.</w:t>
      </w:r>
    </w:p>
    <w:p>
      <w:r>
        <w:br w:type="page"/>
      </w:r>
    </w:p>
    <w:p>
      <w:pPr>
        <w:spacing w:after="160" w:before="400"/>
      </w:pPr>
      <w:r>
        <w:rPr>
          <w:rFonts w:ascii="Calibri" w:cs="Calibri" w:eastAsia="Calibri" w:hAnsi="Calibri"/>
          <w:b/>
          <w:bCs/>
          <w:color w:val="0d6b5e"/>
          <w:sz w:val="40"/>
          <w:szCs w:val="40"/>
        </w:rPr>
        <w:t xml:space="preserve">7.  Operational Framework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374151"/>
          <w:sz w:val="30"/>
          <w:szCs w:val="30"/>
        </w:rPr>
        <w:t xml:space="preserve">7.1  Customer Support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Primary channel: Help Genie AI — in-app, 24/7, trained on platform navigation and all form details.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Escalation: Email support for billing and account issues; target response time &lt;24 hours.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Premium: Paralegal Review add-on provides a 30-minute live session with a human paralegal.</w:t>
      </w:r>
    </w:p>
    <w:p>
      <w:pPr>
        <w:spacing w:after="100" w:before="0"/>
      </w:pPr>
      <w:r>
        <w:t xml:space="preserve"/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374151"/>
          <w:sz w:val="30"/>
          <w:szCs w:val="30"/>
        </w:rPr>
        <w:t xml:space="preserve">7.2  Legal &amp; Compliance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Platform provides document preparation and educational guidance — not legal advice. Disclosed prominently at signup, in the UI, and in the terms of service.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All generated forms are official California Judicial Council PDFs from courts.ca.gov. The platform fills them in — it does not create proprietary substitutes.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MC-030 Declaration includes a mandatory perjury disclosure as required by California law.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FW-001 fee waiver served inline and never stored — confidentiality by design. Consistent with California Rules of Court, rule 3.51.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UPL posture reviewed against California Business &amp; Professions Code §6125 — document preparation is within the permitted scope of a Legal Document Assistant (LDA).</w:t>
      </w:r>
    </w:p>
    <w:p>
      <w:pPr>
        <w:spacing w:after="100" w:before="0"/>
      </w:pPr>
      <w:r>
        <w:t xml:space="preserve"/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374151"/>
          <w:sz w:val="30"/>
          <w:szCs w:val="30"/>
        </w:rPr>
        <w:t xml:space="preserve">7.3  Environments &amp; Deployment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d6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Environment</w:t>
            </w:r>
          </w:p>
        </w:tc>
        <w:tc>
          <w:tcPr>
            <w:shd w:fill="0d6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Details</w:t>
            </w:r>
          </w:p>
        </w:tc>
      </w:tr>
      <w:tr>
        <w:tc>
          <w:tcPr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21"/>
                <w:szCs w:val="21"/>
              </w:rPr>
              <w:t xml:space="preserve">Staging</w:t>
            </w:r>
          </w:p>
        </w:tc>
        <w:tc>
          <w:tcPr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Replit development workspace. Amber 'STAGING' banner in UI. Separate DB, Clerk tenant, and Stripe account.</w:t>
            </w:r>
          </w:p>
        </w:tc>
      </w:tr>
      <w:tr>
        <w:tc>
          <w:tcPr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21"/>
                <w:szCs w:val="21"/>
              </w:rPr>
              <w:t xml:space="preserve">Production</w:t>
            </w:r>
          </w:p>
        </w:tc>
        <w:tc>
          <w:tcPr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Deployed at smallclaimsgenie.com. Replit-managed hosting with TLS and automated health checks.</w:t>
            </w:r>
          </w:p>
        </w:tc>
      </w:tr>
      <w:tr>
        <w:tc>
          <w:tcPr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21"/>
                <w:szCs w:val="21"/>
              </w:rPr>
              <w:t xml:space="preserve">Migrations</w:t>
            </w:r>
          </w:p>
        </w:tc>
        <w:tc>
          <w:tcPr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Schema diffs detected and applied automatically on each publish — no manual steps required.</w:t>
            </w:r>
          </w:p>
        </w:tc>
      </w:tr>
      <w:tr>
        <w:tc>
          <w:tcPr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21"/>
                <w:szCs w:val="21"/>
              </w:rPr>
              <w:t xml:space="preserve">Rollback</w:t>
            </w:r>
          </w:p>
        </w:tc>
        <w:tc>
          <w:tcPr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Replit checkpoint system — full environment snapshots on every deploy, point-in-time rollback available.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374151"/>
          <w:sz w:val="30"/>
          <w:szCs w:val="30"/>
        </w:rPr>
        <w:t xml:space="preserve">7.4  Automated Email Touchpoints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d6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Trigger</w:t>
            </w:r>
          </w:p>
        </w:tc>
        <w:tc>
          <w:tcPr>
            <w:shd w:fill="0d6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c>
          <w:tcPr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21"/>
                <w:szCs w:val="21"/>
              </w:rPr>
              <w:t xml:space="preserve">Case Confirmation</w:t>
            </w:r>
          </w:p>
        </w:tc>
        <w:tc>
          <w:tcPr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Sent immediately when intake is completed.</w:t>
            </w:r>
          </w:p>
        </w:tc>
      </w:tr>
      <w:tr>
        <w:tc>
          <w:tcPr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21"/>
                <w:szCs w:val="21"/>
              </w:rPr>
              <w:t xml:space="preserve">Weekly Check-In</w:t>
            </w:r>
          </w:p>
        </w:tc>
        <w:tc>
          <w:tcPr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Every 7 days if no hearing date has been entered.</w:t>
            </w:r>
          </w:p>
        </w:tc>
      </w:tr>
      <w:tr>
        <w:tc>
          <w:tcPr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21"/>
                <w:szCs w:val="21"/>
              </w:rPr>
              <w:t xml:space="preserve">30-Day Reminder</w:t>
            </w:r>
          </w:p>
        </w:tc>
        <w:tc>
          <w:tcPr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Prompt to finalize documents and confirm service of process.</w:t>
            </w:r>
          </w:p>
        </w:tc>
      </w:tr>
      <w:tr>
        <w:tc>
          <w:tcPr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21"/>
                <w:szCs w:val="21"/>
              </w:rPr>
              <w:t xml:space="preserve">14-Day Reminder</w:t>
            </w:r>
          </w:p>
        </w:tc>
        <w:tc>
          <w:tcPr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Two weeks out — review hearing prep materials.</w:t>
            </w:r>
          </w:p>
        </w:tc>
      </w:tr>
      <w:tr>
        <w:tc>
          <w:tcPr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21"/>
                <w:szCs w:val="21"/>
              </w:rPr>
              <w:t xml:space="preserve">7-Day Reminder</w:t>
            </w:r>
          </w:p>
        </w:tc>
        <w:tc>
          <w:tcPr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One week out — confirm all forms filed and served.</w:t>
            </w:r>
          </w:p>
        </w:tc>
      </w:tr>
      <w:tr>
        <w:tc>
          <w:tcPr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21"/>
                <w:szCs w:val="21"/>
              </w:rPr>
              <w:t xml:space="preserve">3-Day Reminder</w:t>
            </w:r>
          </w:p>
        </w:tc>
        <w:tc>
          <w:tcPr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72 hours out — final document review and opening statement practice.</w:t>
            </w:r>
          </w:p>
        </w:tc>
      </w:tr>
      <w:tr>
        <w:tc>
          <w:tcPr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21"/>
                <w:szCs w:val="21"/>
              </w:rPr>
              <w:t xml:space="preserve">1-Day Reminder</w:t>
            </w:r>
          </w:p>
        </w:tc>
        <w:tc>
          <w:tcPr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Night before — what to bring, what to say, courtroom logistics.</w:t>
            </w:r>
          </w:p>
        </w:tc>
      </w:tr>
    </w:tbl>
    <w:p>
      <w:r>
        <w:br w:type="page"/>
      </w:r>
    </w:p>
    <w:p>
      <w:pPr>
        <w:spacing w:after="160" w:before="400"/>
      </w:pPr>
      <w:r>
        <w:rPr>
          <w:rFonts w:ascii="Calibri" w:cs="Calibri" w:eastAsia="Calibri" w:hAnsi="Calibri"/>
          <w:b/>
          <w:bCs/>
          <w:color w:val="0d6b5e"/>
          <w:sz w:val="40"/>
          <w:szCs w:val="40"/>
        </w:rPr>
        <w:t xml:space="preserve">8.  Product Roadmap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374151"/>
          <w:sz w:val="30"/>
          <w:szCs w:val="30"/>
        </w:rPr>
        <w:t xml:space="preserve">Phase 1 — Current (Live)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Full California small claims workflow: 7-step intake, document OCR, AI case advisor, demand letter, 11 court forms, mock hearing, automated reminders.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Freemium model with Stripe payments. Mobile-first, plain-language UI.</w:t>
      </w:r>
    </w:p>
    <w:p>
      <w:pPr>
        <w:spacing w:after="100" w:before="0"/>
      </w:pPr>
      <w:r>
        <w:t xml:space="preserve"/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374151"/>
          <w:sz w:val="30"/>
          <w:szCs w:val="30"/>
        </w:rPr>
        <w:t xml:space="preserve">Phase 2 — Near-Term (Q3–Q4 2026)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Defendant-side workflow: SC-120 counter-claim preparation for defendants who want to file their own action.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Native iOS and Android apps via React Native / Expo — the API is already mobile-ready with no backend changes.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Attorney referral network: for disputes exceeding the small claims limit, warm handoff to vetted partner attorneys.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Spanish-language support: California's largest untapped segment within the existing market.</w:t>
      </w:r>
    </w:p>
    <w:p>
      <w:pPr>
        <w:spacing w:after="100" w:before="0"/>
      </w:pPr>
      <w:r>
        <w:t xml:space="preserve"/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374151"/>
          <w:sz w:val="30"/>
          <w:szCs w:val="30"/>
        </w:rPr>
        <w:t xml:space="preserve">Phase 3 — Expansion (2027+)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Multi-state launch: Texas, Florida, and New York — comparable small claims systems, large populations.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Business volume plans: monthly licensing for property managers, landlords, and collection agencies.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Court e-filing integration: direct submission where courts offer electronic filing APIs.</w:t>
      </w:r>
    </w:p>
    <w:p>
      <w:r>
        <w:br w:type="page"/>
      </w:r>
    </w:p>
    <w:p>
      <w:pPr>
        <w:spacing w:after="160" w:before="400"/>
      </w:pPr>
      <w:r>
        <w:rPr>
          <w:rFonts w:ascii="Calibri" w:cs="Calibri" w:eastAsia="Calibri" w:hAnsi="Calibri"/>
          <w:b/>
          <w:bCs/>
          <w:color w:val="0d6b5e"/>
          <w:sz w:val="40"/>
          <w:szCs w:val="40"/>
        </w:rPr>
        <w:t xml:space="preserve">9.  Risk Factors &amp; Mitigations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d6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Risk</w:t>
            </w:r>
          </w:p>
        </w:tc>
        <w:tc>
          <w:tcPr>
            <w:shd w:fill="0d6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Mitigation</w:t>
            </w:r>
          </w:p>
        </w:tc>
      </w:tr>
      <w:tr>
        <w:tc>
          <w:tcPr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21"/>
                <w:szCs w:val="21"/>
              </w:rPr>
              <w:t xml:space="preserve">Unauthorized Practice of Law</w:t>
            </w:r>
          </w:p>
        </w:tc>
        <w:tc>
          <w:tcPr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Document preparation only. Disclosed prominently. Consistent with LDA model under CA B&amp;P Code §6125.</w:t>
            </w:r>
          </w:p>
        </w:tc>
      </w:tr>
      <w:tr>
        <w:tc>
          <w:tcPr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21"/>
                <w:szCs w:val="21"/>
              </w:rPr>
              <w:t xml:space="preserve">AI Accuracy</w:t>
            </w:r>
          </w:p>
        </w:tc>
        <w:tc>
          <w:tcPr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Responses framed as guidance, not legal conclusions. Rate limiting and prompt engineering minimize hallucination risk.</w:t>
            </w:r>
          </w:p>
        </w:tc>
      </w:tr>
      <w:tr>
        <w:tc>
          <w:tcPr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21"/>
                <w:szCs w:val="21"/>
              </w:rPr>
              <w:t xml:space="preserve">Form Version Changes</w:t>
            </w:r>
          </w:p>
        </w:tc>
        <w:tc>
          <w:tcPr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Platform uses official JC AcroForm PDFs. Monitoring courts.ca.gov for revisions. Updating a form = file swap.</w:t>
            </w:r>
          </w:p>
        </w:tc>
      </w:tr>
      <w:tr>
        <w:tc>
          <w:tcPr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21"/>
                <w:szCs w:val="21"/>
              </w:rPr>
              <w:t xml:space="preserve">OpenAI Dependency</w:t>
            </w:r>
          </w:p>
        </w:tc>
        <w:tc>
          <w:tcPr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Abstraction layer around AI provider. Switch to Anthropic or Gemini = config change, no code rewrites.</w:t>
            </w:r>
          </w:p>
        </w:tc>
      </w:tr>
      <w:tr>
        <w:tc>
          <w:tcPr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21"/>
                <w:szCs w:val="21"/>
              </w:rPr>
              <w:t xml:space="preserve">Market Education</w:t>
            </w:r>
          </w:p>
        </w:tc>
        <w:tc>
          <w:tcPr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High-intent organic search traffic ('small claims California') addresses discovery. SEO-first content marketing strategy.</w:t>
            </w:r>
          </w:p>
        </w:tc>
      </w:tr>
    </w:tbl>
    <w:p>
      <w:r>
        <w:br w:type="page"/>
      </w:r>
    </w:p>
    <w:p>
      <w:pPr>
        <w:spacing w:after="160" w:before="400"/>
      </w:pPr>
      <w:r>
        <w:rPr>
          <w:rFonts w:ascii="Calibri" w:cs="Calibri" w:eastAsia="Calibri" w:hAnsi="Calibri"/>
          <w:b/>
          <w:bCs/>
          <w:color w:val="0d6b5e"/>
          <w:sz w:val="40"/>
          <w:szCs w:val="40"/>
        </w:rPr>
        <w:t xml:space="preserve">10.  Summary — The Investment Case</w:t>
      </w:r>
    </w:p>
    <w:p>
      <w:pPr>
        <w:spacing w:after="100" w:before="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d6b5e" w:sz="6"/>
              <w:left w:val="single" w:color="0d6b5e" w:sz="6"/>
              <w:bottom w:val="single" w:color="0d6b5e" w:sz="6"/>
              <w:right w:val="single" w:color="0d6b5e" w:sz="6"/>
            </w:tcBorders>
            <w:shd w:fill="e6f4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0d6b5e"/>
                <w:sz w:val="21"/>
                <w:szCs w:val="21"/>
              </w:rPr>
              <w:t xml:space="preserve">✔  Live product:      Full platform live at smallclaimsgenie.com — not a prototype or MVP.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0d6b5e"/>
                <w:sz w:val="21"/>
                <w:szCs w:val="21"/>
              </w:rPr>
              <w:t xml:space="preserve">✔  Proven technology: All 11 CA court forms generated, AI coaching active, Stripe payments working.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0d6b5e"/>
                <w:sz w:val="21"/>
                <w:szCs w:val="21"/>
              </w:rPr>
              <w:t xml:space="preserve">✔  Massive market:    1.5M+ CA small claims filings/year with no quality digital preparation tool.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0d6b5e"/>
                <w:sz w:val="21"/>
                <w:szCs w:val="21"/>
              </w:rPr>
              <w:t xml:space="preserve">✔  Defensible moat:   End-to-end workflow (intake → forms → AI → hearing prep) is hard to replicate.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0d6b5e"/>
                <w:sz w:val="21"/>
                <w:szCs w:val="21"/>
              </w:rPr>
              <w:t xml:space="preserve">✔  Low CAC:           Organic SEO for 'small claims California' — high intent, estimated $15–$35 CAC.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0d6b5e"/>
                <w:sz w:val="21"/>
                <w:szCs w:val="21"/>
              </w:rPr>
              <w:t xml:space="preserve">✔  High margin:       ~85% gross margin; AI API cost ~$1–2 per activated case.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0d6b5e"/>
                <w:sz w:val="21"/>
                <w:szCs w:val="21"/>
              </w:rPr>
              <w:t xml:space="preserve">✔  No churn risk:     One-time purchase — no subscription cancellations, no monthly revenue decay.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0d6b5e"/>
                <w:sz w:val="21"/>
                <w:szCs w:val="21"/>
              </w:rPr>
              <w:t xml:space="preserve">✔  Expandable:        Multi-state expansion is configuration + content, not a technology rebuild.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0d6b5e"/>
                <w:sz w:val="21"/>
                <w:szCs w:val="21"/>
              </w:rPr>
              <w:t xml:space="preserve">✔  Social impact:     Democratizes access to justice for those who cannot afford attorney representation.</w:t>
            </w:r>
          </w:p>
        </w:tc>
      </w:tr>
    </w:tbl>
    <w:p>
      <w:pPr>
        <w:spacing w:after="300" w:before="0"/>
      </w:pPr>
      <w:r>
        <w:t xml:space="preserve"/>
      </w:r>
    </w:p>
    <w:p>
      <w:pPr>
        <w:spacing w:after="80" w:before="200"/>
        <w:jc w:val="center"/>
      </w:pPr>
      <w:r>
        <w:rPr>
          <w:rFonts w:ascii="Calibri" w:cs="Calibri" w:eastAsia="Calibri" w:hAnsi="Calibri"/>
          <w:b/>
          <w:bCs/>
          <w:color w:val="0d6b5e"/>
          <w:sz w:val="32"/>
          <w:szCs w:val="32"/>
        </w:rPr>
        <w:t xml:space="preserve">smallclaimsgenie.com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i/>
          <w:iCs/>
          <w:color w:val="374151"/>
          <w:sz w:val="22"/>
          <w:szCs w:val="22"/>
        </w:rPr>
        <w:t xml:space="preserve">Confidential — Not for Distribution</w:t>
      </w:r>
    </w:p>
    <w:p>
      <w:pPr>
        <w:jc w:val="center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© 2026 Small Claims Genie. All rights reserved.</w:t>
      </w:r>
    </w:p>
    <w:sectPr>
      <w:pgSz w:w="11906" w:h="16838" w:orient="portrait"/>
      <w:pgMar w:top="1440" w:right="1584" w:bottom="1440" w:left="15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2026-05-13T20:22:36.368Z</dcterms:created>
  <dcterms:modified xsi:type="dcterms:W3CDTF">2026-05-13T20:22:36.368Z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