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Small Claims Form Tile Guides</w:t>
      </w:r>
    </w:p>
    <w:p>
      <w:pPr>
        <w:pStyle w:val="BodyCustom"/>
        <w:spacing w:before="0" w:after="240" w:line="276" w:lineRule="auto"/>
      </w:pPr>
      <w:r>
        <w:rPr>
          <w:rFonts w:ascii="Aptos" w:hAnsi="Aptos"/>
          <w:b w:val="0"/>
          <w:i w:val="0"/>
          <w:color w:val="5A5A5A"/>
          <w:sz w:val="24"/>
        </w:rPr>
        <w:t>Product-facing Word drafts for long-form tile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/>
                <w:i w:val="0"/>
                <w:color w:val="1F4E79"/>
                <w:sz w:val="22"/>
              </w:rPr>
              <w:t xml:space="preserve">Purpose: </w:t>
            </w:r>
            <w:r>
              <w:rPr>
                <w:rFonts w:ascii="Aptos" w:hAnsi="Aptos"/>
                <w:b w:val="0"/>
                <w:i w:val="0"/>
                <w:sz w:val="22"/>
              </w:rPr>
              <w:t>These documents are written for a user interface, not as bare legal definitions. Each guide is intended to help unfamiliar users decide whether a form applies to their situation and what they will need next.</w:t>
            </w:r>
          </w:p>
        </w:tc>
      </w:tr>
    </w:tbl>
    <w:p/>
    <w:p>
      <w:pPr>
        <w:pStyle w:val="Heading1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Included guides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F4E79"/>
                <w:sz w:val="21"/>
              </w:rPr>
              <w:t>Form</w:t>
            </w:r>
          </w:p>
        </w:tc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F4E79"/>
                <w:sz w:val="21"/>
              </w:rPr>
              <w:t>Title</w:t>
            </w:r>
          </w:p>
        </w:tc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F4E79"/>
                <w:sz w:val="21"/>
              </w:rPr>
              <w:t>Primary decision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SC-100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Plaintiff's Claim and ORDER to Go to Small Claims Court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if you are opening the case. It is the main starting form for most small claims plaintiffs.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SC-100A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Other Plaintiffs or Defendants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only when the case has more people or businesses than the main claim form can hold.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SC-103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Fictitious Business Name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when the filing party is suing or being identified through a business name that is not the full legal owner name.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SC-104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Proof of Service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after in-person service of the claim. It is not the form that starts the case; it proves delivery of filed papers.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SC-105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Request for Court Order and Answer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when you need the court to rule on a case-management issue rather than decide the entire money dispute.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SC-112A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Proof of Service by Mail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when the correct service method for the document is first-class mail and you need to show the court that mailing happened.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SC-120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Defendant's Claim and ORDER to Go to Small Claims Court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only if you are already the defendant in a small claims case and have your own claim against the plaintiff.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SC-140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Notice of Appeal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after judgment if you were ordered to pay and want a new hearing in the superior court appeal process.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SC-150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Request to Postpone Trial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when the current trial date genuinely will not work and you can explain why the postponement is necessary.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MC-030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Declaration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Choose this form when you need a signed, penalty-of-perjury explanation to support another filing.</w:t>
            </w:r>
          </w:p>
        </w:tc>
      </w:tr>
    </w:tbl>
    <w:p/>
    <w:p>
      <w:pPr>
        <w:pStyle w:val="Heading1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Research base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Small claims in California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Fill out forms to start a small claims case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Serve your small claims forms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Serve your Defendant's Claim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Change your small claims court date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Appeal (challenge) the judge's decision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California Courts Self-Help: JCC form pages for SC-100, SC-100A, SC-103, SC-104, SC-105, SC-112A, SC-120, SC-140, SC-150, and MC-030</w:t>
      </w:r>
    </w:p>
    <w:p>
      <w:pPr>
        <w:pStyle w:val="Heading1"/>
        <w:spacing w:before="0" w:after="80" w:line="276" w:lineRule="auto"/>
      </w:pPr>
      <w:r>
        <w:rPr>
          <w:rFonts w:ascii="Aptos" w:hAnsi="Aptos"/>
          <w:b w:val="0"/>
          <w:i w:val="0"/>
          <w:sz w:val="22"/>
        </w:rPr>
        <w:t>Release note</w:t>
      </w:r>
    </w:p>
    <w:p>
      <w:pPr>
        <w:pStyle w:val="BodyCustom"/>
        <w:spacing w:before="0" w:after="120" w:line="276" w:lineRule="auto"/>
      </w:pPr>
      <w:r>
        <w:rPr>
          <w:rFonts w:ascii="Aptos" w:hAnsi="Aptos"/>
          <w:b w:val="0"/>
          <w:i w:val="0"/>
          <w:sz w:val="22"/>
        </w:rPr>
        <w:t>These guides should be treated as product copy drafts. Before publishing, verify each workflow against the latest Judicial Council form, current California Courts Self-Help instructions, and any county-specific local rules.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ptos" w:hAnsi="Aptos"/>
        <w:b w:val="0"/>
        <w:i w:val="0"/>
        <w:color w:val="5A5A5A"/>
        <w:sz w:val="18"/>
      </w:rPr>
      <w:t>Small Claims UI Draft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