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0" w:after="40" w:line="276" w:lineRule="auto"/>
      </w:pPr>
      <w:r>
        <w:rPr>
          <w:rFonts w:ascii="Aptos" w:hAnsi="Aptos"/>
          <w:b w:val="0"/>
          <w:i w:val="0"/>
          <w:color w:val="1F4E79"/>
          <w:sz w:val="22"/>
        </w:rPr>
        <w:t>SC-100A</w:t>
      </w:r>
    </w:p>
    <w:p>
      <w:pPr>
        <w:pStyle w:val="Title"/>
        <w:spacing w:before="0" w:after="40" w:line="276" w:lineRule="auto"/>
      </w:pPr>
      <w:r>
        <w:rPr>
          <w:rFonts w:ascii="Aptos" w:hAnsi="Aptos"/>
          <w:b w:val="0"/>
          <w:i w:val="0"/>
          <w:sz w:val="22"/>
        </w:rPr>
        <w:t>Other Plaintiffs or Defendants</w:t>
      </w:r>
    </w:p>
    <w:p>
      <w:pPr>
        <w:pStyle w:val="BodyCustom"/>
        <w:spacing w:before="0" w:after="200" w:line="276" w:lineRule="auto"/>
        <w:jc w:val="left"/>
      </w:pPr>
      <w:r>
        <w:rPr>
          <w:rFonts w:ascii="Aptos" w:hAnsi="Aptos"/>
          <w:b w:val="0"/>
          <w:i w:val="0"/>
          <w:color w:val="5A5A5A"/>
          <w:sz w:val="23"/>
        </w:rPr>
        <w:t>Use this attachment when the main claim form does not give you enough lines to list everyone in the case.</w:t>
      </w:r>
    </w:p>
    <w:tbl>
      <w:tblPr>
        <w:tblW w:type="auto" w:w="0"/>
        <w:jc w:val="center"/>
        <w:tblLayout w:type="fixed"/>
        <w:tblLook w:firstColumn="1" w:firstRow="1" w:lastColumn="0" w:lastRow="0" w:noHBand="0" w:noVBand="1" w:val="04A0"/>
      </w:tblPr>
      <w:tblGrid>
        <w:gridCol w:w="4968"/>
        <w:gridCol w:w="4968"/>
      </w:tblGrid>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Best use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Choose this form only when the case has more people or businesses than the main claim form can hold.</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Good fit when</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Use this attachment when the main claim form does not give you enough lines to list everyone in the case.</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Form role</w:t>
            </w:r>
          </w:p>
        </w:tc>
        <w:tc>
          <w:tcPr>
            <w:tcW w:type="dxa" w:w="6912"/>
            <w:tcMar>
              <w:top w:w="80" w:type="dxa"/>
              <w:start w:w="100" w:type="dxa"/>
              <w:bottom w:w="80" w:type="dxa"/>
              <w:end w:w="100" w:type="dxa"/>
            </w:tcMar>
            <w:vAlign w:val="center"/>
            <w:shd w:fill="F9FBFD"/>
          </w:tcPr>
          <w:p>
            <w:pPr>
              <w:spacing w:before="0" w:after="40" w:line="276" w:lineRule="auto"/>
            </w:pPr>
            <w:r>
              <w:rPr>
                <w:rFonts w:ascii="Aptos" w:hAnsi="Aptos"/>
                <w:b w:val="0"/>
                <w:i w:val="0"/>
                <w:sz w:val="21"/>
              </w:rPr>
              <w:t>Attachment form</w:t>
            </w:r>
          </w:p>
        </w:tc>
      </w:tr>
      <w:tr>
        <w:tc>
          <w:tcPr>
            <w:tcW w:type="dxa" w:w="2592"/>
            <w:tcMar>
              <w:top w:w="80" w:type="dxa"/>
              <w:start w:w="100" w:type="dxa"/>
              <w:bottom w:w="80" w:type="dxa"/>
              <w:end w:w="100" w:type="dxa"/>
            </w:tcMar>
            <w:vAlign w:val="center"/>
            <w:shd w:fill="D9EAF7"/>
          </w:tcPr>
          <w:p>
            <w:pPr>
              <w:spacing w:before="0" w:after="40" w:line="276" w:lineRule="auto"/>
            </w:pPr>
            <w:r>
              <w:rPr>
                <w:rFonts w:ascii="Aptos" w:hAnsi="Aptos"/>
                <w:b/>
                <w:i w:val="0"/>
                <w:color w:val="1F4E79"/>
                <w:sz w:val="21"/>
              </w:rPr>
              <w:t>Effective version noted</w:t>
            </w:r>
          </w:p>
        </w:tc>
        <w:tc>
          <w:tcPr>
            <w:tcW w:type="dxa" w:w="6912"/>
            <w:tcMar>
              <w:top w:w="80" w:type="dxa"/>
              <w:start w:w="100" w:type="dxa"/>
              <w:bottom w:w="80" w:type="dxa"/>
              <w:end w:w="100" w:type="dxa"/>
            </w:tcMar>
            <w:vAlign w:val="center"/>
          </w:tcPr>
          <w:p>
            <w:pPr>
              <w:spacing w:before="0" w:after="40" w:line="276" w:lineRule="auto"/>
            </w:pPr>
            <w:r>
              <w:rPr>
                <w:rFonts w:ascii="Aptos" w:hAnsi="Aptos"/>
                <w:b w:val="0"/>
                <w:i w:val="0"/>
                <w:sz w:val="21"/>
              </w:rPr>
              <w:t>January 1, 2017</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Design intent: </w:t>
            </w:r>
            <w:r>
              <w:rPr>
                <w:rFonts w:ascii="Aptos" w:hAnsi="Aptos"/>
                <w:b w:val="0"/>
                <w:i w:val="0"/>
                <w:sz w:val="22"/>
              </w:rPr>
              <w:t>This page should reassure the user that the form is simple: it is just extra room for names and addresses. The main decision is not whether they need more facts, but whether they have more parties than the base form allows.</w:t>
            </w:r>
          </w:p>
        </w:tc>
      </w:tr>
    </w:tbl>
    <w:p/>
    <w:p>
      <w:pPr>
        <w:pStyle w:val="Heading1"/>
        <w:spacing w:before="0" w:after="80" w:line="276" w:lineRule="auto"/>
      </w:pPr>
      <w:r>
        <w:rPr>
          <w:rFonts w:ascii="Aptos" w:hAnsi="Aptos"/>
          <w:b w:val="0"/>
          <w:i w:val="0"/>
          <w:sz w:val="22"/>
        </w:rPr>
        <w:t>When a user should choose this form</w:t>
      </w:r>
    </w:p>
    <w:p>
      <w:pPr>
        <w:pStyle w:val="ListBullet"/>
        <w:spacing w:before="0" w:after="80" w:line="276" w:lineRule="auto"/>
      </w:pPr>
      <w:r>
        <w:rPr>
          <w:rFonts w:ascii="Aptos" w:hAnsi="Aptos"/>
          <w:b w:val="0"/>
          <w:i w:val="0"/>
          <w:sz w:val="22"/>
        </w:rPr>
        <w:t>There are more than two plaintiffs or more defendants than the main form can list.</w:t>
      </w:r>
    </w:p>
    <w:p>
      <w:pPr>
        <w:pStyle w:val="ListBullet"/>
        <w:spacing w:before="0" w:after="80" w:line="276" w:lineRule="auto"/>
      </w:pPr>
      <w:r>
        <w:rPr>
          <w:rFonts w:ascii="Aptos" w:hAnsi="Aptos"/>
          <w:b w:val="0"/>
          <w:i w:val="0"/>
          <w:sz w:val="22"/>
        </w:rPr>
        <w:t>You need to identify each extra person or business clearly for the court record and for service.</w:t>
      </w:r>
    </w:p>
    <w:p>
      <w:pPr>
        <w:pStyle w:val="Heading1"/>
        <w:spacing w:before="0" w:after="80" w:line="276" w:lineRule="auto"/>
      </w:pPr>
      <w:r>
        <w:rPr>
          <w:rFonts w:ascii="Aptos" w:hAnsi="Aptos"/>
          <w:b w:val="0"/>
          <w:i w:val="0"/>
          <w:sz w:val="22"/>
        </w:rPr>
        <w:t>When a user should probably not choose this form</w:t>
      </w:r>
    </w:p>
    <w:p>
      <w:pPr>
        <w:pStyle w:val="ListBullet"/>
        <w:spacing w:before="0" w:after="80" w:line="276" w:lineRule="auto"/>
      </w:pPr>
      <w:r>
        <w:rPr>
          <w:rFonts w:ascii="Aptos" w:hAnsi="Aptos"/>
          <w:b w:val="0"/>
          <w:i w:val="0"/>
          <w:sz w:val="22"/>
        </w:rPr>
        <w:t>Your case fits on SC-100 or SC-120 without extra names.</w:t>
      </w:r>
    </w:p>
    <w:p>
      <w:pPr>
        <w:pStyle w:val="ListBullet"/>
        <w:spacing w:before="0" w:after="80" w:line="276" w:lineRule="auto"/>
      </w:pPr>
      <w:r>
        <w:rPr>
          <w:rFonts w:ascii="Aptos" w:hAnsi="Aptos"/>
          <w:b w:val="0"/>
          <w:i w:val="0"/>
          <w:sz w:val="22"/>
        </w:rPr>
        <w:t>You need extra room to explain facts. This form is only for party information.</w:t>
      </w:r>
    </w:p>
    <w:p>
      <w:pPr>
        <w:pStyle w:val="Heading1"/>
        <w:spacing w:before="0" w:after="80" w:line="276" w:lineRule="auto"/>
      </w:pPr>
      <w:r>
        <w:rPr>
          <w:rFonts w:ascii="Aptos" w:hAnsi="Aptos"/>
          <w:b w:val="0"/>
          <w:i w:val="0"/>
          <w:sz w:val="22"/>
        </w:rPr>
        <w:t>What the user should have ready</w:t>
      </w:r>
    </w:p>
    <w:p>
      <w:pPr>
        <w:pStyle w:val="ListBullet"/>
        <w:spacing w:before="0" w:after="80" w:line="276" w:lineRule="auto"/>
      </w:pPr>
      <w:r>
        <w:rPr>
          <w:rFonts w:ascii="Aptos" w:hAnsi="Aptos"/>
          <w:b w:val="0"/>
          <w:i w:val="0"/>
          <w:sz w:val="22"/>
        </w:rPr>
        <w:t>The caption information from the main form.</w:t>
      </w:r>
    </w:p>
    <w:p>
      <w:pPr>
        <w:pStyle w:val="ListBullet"/>
        <w:spacing w:before="0" w:after="80" w:line="276" w:lineRule="auto"/>
      </w:pPr>
      <w:r>
        <w:rPr>
          <w:rFonts w:ascii="Aptos" w:hAnsi="Aptos"/>
          <w:b w:val="0"/>
          <w:i w:val="0"/>
          <w:sz w:val="22"/>
        </w:rPr>
        <w:t>The legal name and address details for each additional plaintiff or defendant.</w:t>
      </w:r>
    </w:p>
    <w:p>
      <w:pPr>
        <w:pStyle w:val="ListBullet"/>
        <w:spacing w:before="0" w:after="80" w:line="276" w:lineRule="auto"/>
      </w:pPr>
      <w:r>
        <w:rPr>
          <w:rFonts w:ascii="Aptos" w:hAnsi="Aptos"/>
          <w:b w:val="0"/>
          <w:i w:val="0"/>
          <w:sz w:val="22"/>
        </w:rPr>
        <w:t>Consistency with the names used everywhere else in the case.</w:t>
      </w:r>
    </w:p>
    <w:p>
      <w:pPr>
        <w:pStyle w:val="Heading1"/>
        <w:spacing w:before="0" w:after="80" w:line="276" w:lineRule="auto"/>
      </w:pPr>
      <w:r>
        <w:rPr>
          <w:rFonts w:ascii="Aptos" w:hAnsi="Aptos"/>
          <w:b w:val="0"/>
          <w:i w:val="0"/>
          <w:sz w:val="22"/>
        </w:rPr>
        <w:t>Recommended UI flow</w:t>
      </w:r>
    </w:p>
    <w:p>
      <w:pPr>
        <w:pStyle w:val="BodyCustom"/>
      </w:pPr>
    </w:p>
    <w:p>
      <w:pPr>
        <w:pStyle w:val="BodyCustom"/>
        <w:spacing w:before="0" w:after="80" w:line="276" w:lineRule="auto"/>
      </w:pPr>
      <w:r>
        <w:rPr>
          <w:rFonts w:ascii="Aptos" w:hAnsi="Aptos"/>
          <w:b/>
          <w:i w:val="0"/>
          <w:color w:val="1F4E79"/>
          <w:sz w:val="22"/>
        </w:rPr>
        <w:t xml:space="preserve">1. </w:t>
      </w:r>
      <w:r>
        <w:rPr>
          <w:rFonts w:ascii="Aptos" w:hAnsi="Aptos"/>
          <w:b w:val="0"/>
          <w:i w:val="0"/>
          <w:sz w:val="22"/>
        </w:rPr>
        <w:t>Attach it behind the main claim form, not by itself.</w:t>
      </w:r>
    </w:p>
    <w:p>
      <w:pPr>
        <w:pStyle w:val="BodyCustom"/>
        <w:spacing w:before="0" w:after="80" w:line="276" w:lineRule="auto"/>
      </w:pPr>
      <w:r>
        <w:rPr>
          <w:rFonts w:ascii="Aptos" w:hAnsi="Aptos"/>
          <w:b/>
          <w:i w:val="0"/>
          <w:color w:val="1F4E79"/>
          <w:sz w:val="22"/>
        </w:rPr>
        <w:t xml:space="preserve">2. </w:t>
      </w:r>
      <w:r>
        <w:rPr>
          <w:rFonts w:ascii="Aptos" w:hAnsi="Aptos"/>
          <w:b w:val="0"/>
          <w:i w:val="0"/>
          <w:sz w:val="22"/>
        </w:rPr>
        <w:t>List every extra party exactly as you want them to appear in the case.</w:t>
      </w:r>
    </w:p>
    <w:p>
      <w:pPr>
        <w:pStyle w:val="BodyCustom"/>
        <w:spacing w:before="0" w:after="80" w:line="276" w:lineRule="auto"/>
      </w:pPr>
      <w:r>
        <w:rPr>
          <w:rFonts w:ascii="Aptos" w:hAnsi="Aptos"/>
          <w:b/>
          <w:i w:val="0"/>
          <w:color w:val="1F4E79"/>
          <w:sz w:val="22"/>
        </w:rPr>
        <w:t xml:space="preserve">3. </w:t>
      </w:r>
      <w:r>
        <w:rPr>
          <w:rFonts w:ascii="Aptos" w:hAnsi="Aptos"/>
          <w:b w:val="0"/>
          <w:i w:val="0"/>
          <w:sz w:val="22"/>
        </w:rPr>
        <w:t>Check spelling, business suffixes, and addresses before filing.</w:t>
      </w:r>
    </w:p>
    <w:p>
      <w:pPr>
        <w:pStyle w:val="Heading1"/>
        <w:spacing w:before="0" w:after="80" w:line="276" w:lineRule="auto"/>
      </w:pPr>
      <w:r>
        <w:rPr>
          <w:rFonts w:ascii="Aptos" w:hAnsi="Aptos"/>
          <w:b w:val="0"/>
          <w:i w:val="0"/>
          <w:sz w:val="22"/>
        </w:rPr>
        <w:t>Decision warnings and coaching prompts</w:t>
      </w:r>
    </w:p>
    <w:p>
      <w:pPr>
        <w:pStyle w:val="ListBullet"/>
        <w:spacing w:before="0" w:after="80" w:line="276" w:lineRule="auto"/>
      </w:pPr>
      <w:r>
        <w:rPr>
          <w:rFonts w:ascii="Aptos" w:hAnsi="Aptos"/>
          <w:b w:val="0"/>
          <w:i w:val="0"/>
          <w:sz w:val="22"/>
        </w:rPr>
        <w:t>This form solves a space problem, not a strategy problem. If users are uncertain who should be named, the UI should pause and explain that naming the wrong party can cause service and collection problems.</w:t>
      </w:r>
    </w:p>
    <w:p>
      <w:pPr>
        <w:pStyle w:val="ListBullet"/>
        <w:spacing w:before="0" w:after="80" w:line="276" w:lineRule="auto"/>
      </w:pPr>
      <w:r>
        <w:rPr>
          <w:rFonts w:ascii="Aptos" w:hAnsi="Aptos"/>
          <w:b w:val="0"/>
          <w:i w:val="0"/>
          <w:sz w:val="22"/>
        </w:rPr>
        <w:t>Users often confuse trade names with legal entities. Encourage them to confirm official names before they file.</w:t>
      </w:r>
    </w:p>
    <w:p>
      <w:pPr>
        <w:pStyle w:val="Heading1"/>
        <w:spacing w:before="0" w:after="80" w:line="276" w:lineRule="auto"/>
      </w:pPr>
      <w:r>
        <w:rPr>
          <w:rFonts w:ascii="Aptos" w:hAnsi="Aptos"/>
          <w:b w:val="0"/>
          <w:i w:val="0"/>
          <w:sz w:val="22"/>
        </w:rPr>
        <w:t>Related forms and next steps</w:t>
      </w:r>
    </w:p>
    <w:p>
      <w:pPr>
        <w:pStyle w:val="ListBullet"/>
        <w:spacing w:before="0" w:after="80" w:line="276" w:lineRule="auto"/>
      </w:pPr>
      <w:r>
        <w:rPr>
          <w:rFonts w:ascii="Aptos" w:hAnsi="Aptos"/>
          <w:b w:val="0"/>
          <w:i w:val="0"/>
          <w:sz w:val="22"/>
        </w:rPr>
        <w:t>SC-100 when starting a case</w:t>
      </w:r>
    </w:p>
    <w:p>
      <w:pPr>
        <w:pStyle w:val="ListBullet"/>
        <w:spacing w:before="0" w:after="80" w:line="276" w:lineRule="auto"/>
      </w:pPr>
      <w:r>
        <w:rPr>
          <w:rFonts w:ascii="Aptos" w:hAnsi="Aptos"/>
          <w:b w:val="0"/>
          <w:i w:val="0"/>
          <w:sz w:val="22"/>
        </w:rPr>
        <w:t>SC-120 when filing a defendant claim</w:t>
      </w:r>
    </w:p>
    <w:p>
      <w:pPr>
        <w:pStyle w:val="ListBullet"/>
        <w:spacing w:before="0" w:after="80" w:line="276" w:lineRule="auto"/>
      </w:pPr>
      <w:r>
        <w:rPr>
          <w:rFonts w:ascii="Aptos" w:hAnsi="Aptos"/>
          <w:b w:val="0"/>
          <w:i w:val="0"/>
          <w:sz w:val="22"/>
        </w:rPr>
        <w:t>SC-103 if a listed business uses a fictitious business name</w:t>
      </w:r>
    </w:p>
    <w:tbl>
      <w:tblPr>
        <w:tblW w:type="auto" w:w="0"/>
        <w:jc w:val="center"/>
        <w:tblLayout w:type="autofit"/>
        <w:tblLook w:firstColumn="1" w:firstRow="1" w:lastColumn="0" w:lastRow="0" w:noHBand="0" w:noVBand="1" w:val="04A0"/>
      </w:tblPr>
      <w:tblGrid>
        <w:gridCol w:w="9936"/>
      </w:tblGrid>
      <w:tr>
        <w:tc>
          <w:tcPr>
            <w:tcW w:type="dxa" w:w="9936"/>
            <w:shd w:fill="EAF2F8"/>
            <w:tcMar>
              <w:top w:w="120" w:type="dxa"/>
              <w:start w:w="140" w:type="dxa"/>
              <w:bottom w:w="120" w:type="dxa"/>
              <w:end w:w="140" w:type="dxa"/>
            </w:tcMar>
            <w:vAlign w:val="center"/>
          </w:tcPr>
          <w:p>
            <w:pPr>
              <w:spacing w:before="0" w:after="40" w:line="276" w:lineRule="auto"/>
            </w:pPr>
            <w:r>
              <w:rPr>
                <w:rFonts w:ascii="Aptos" w:hAnsi="Aptos"/>
                <w:b/>
                <w:i w:val="0"/>
                <w:color w:val="1F4E79"/>
                <w:sz w:val="22"/>
              </w:rPr>
              <w:t xml:space="preserve">Source approach: </w:t>
            </w:r>
            <w:r>
              <w:rPr>
                <w:rFonts w:ascii="Aptos" w:hAnsi="Aptos"/>
                <w:b w:val="0"/>
                <w:i w:val="0"/>
                <w:sz w:val="22"/>
              </w:rPr>
              <w:t>This guide was drafted from official California Courts Self-Help form pages and related small-claims process pages, then rewritten into product-facing language for users who may not know court forms.</w:t>
            </w:r>
          </w:p>
        </w:tc>
      </w:tr>
    </w:tbl>
    <w:p/>
    <w:p>
      <w:pPr>
        <w:pStyle w:val="Heading1"/>
        <w:spacing w:before="0" w:after="80" w:line="276" w:lineRule="auto"/>
      </w:pPr>
      <w:r>
        <w:rPr>
          <w:rFonts w:ascii="Aptos" w:hAnsi="Aptos"/>
          <w:b w:val="0"/>
          <w:i w:val="0"/>
          <w:sz w:val="22"/>
        </w:rPr>
        <w:t>Suggested tile-page summary</w:t>
      </w:r>
    </w:p>
    <w:p>
      <w:pPr>
        <w:pStyle w:val="BodyCustom"/>
        <w:spacing w:before="0" w:after="160" w:line="276" w:lineRule="auto"/>
      </w:pPr>
      <w:r>
        <w:rPr>
          <w:rFonts w:ascii="Aptos" w:hAnsi="Aptos"/>
          <w:b w:val="0"/>
          <w:i w:val="0"/>
          <w:sz w:val="22"/>
        </w:rPr>
        <w:t>SC-100A is best presented as a decision page, not just a static description. The page should help a user quickly decide whether Other Plaintiffs or Defendants is the right form, what information they need before they begin, and what usually happens after filing or serving it. Users should leave the page with a clear yes-or-no answer and a realistic next step.</w:t>
      </w:r>
    </w:p>
    <w:p>
      <w:pPr>
        <w:pStyle w:val="Heading2"/>
        <w:spacing w:before="0" w:after="40" w:line="276" w:lineRule="auto"/>
      </w:pPr>
      <w:r>
        <w:rPr>
          <w:rFonts w:ascii="Aptos" w:hAnsi="Aptos"/>
          <w:b w:val="0"/>
          <w:i w:val="0"/>
          <w:sz w:val="22"/>
        </w:rPr>
        <w:t>Official-source note</w:t>
      </w:r>
    </w:p>
    <w:p>
      <w:pPr>
        <w:pStyle w:val="BodyCustom"/>
        <w:spacing w:before="0" w:after="0" w:line="276" w:lineRule="auto"/>
      </w:pPr>
      <w:r>
        <w:rPr>
          <w:rFonts w:ascii="Aptos" w:hAnsi="Aptos"/>
          <w:b w:val="0"/>
          <w:i w:val="0"/>
          <w:color w:val="5A5A5A"/>
          <w:sz w:val="21"/>
        </w:rPr>
        <w:t>Effective date referenced: January 1, 2017. Always confirm the current Judicial Council version and any county-specific local forms before release.</w:t>
      </w:r>
    </w:p>
    <w:sectPr w:rsidR="00FC693F" w:rsidRPr="0006063C" w:rsidSect="00034616">
      <w:footerReference w:type="default" r:id="rId9"/>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5A5A5A"/>
        <w:sz w:val="18"/>
      </w:rPr>
      <w:t>Small Claims UI Draft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