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40" w:line="276" w:lineRule="auto"/>
      </w:pPr>
      <w:r>
        <w:rPr>
          <w:rFonts w:ascii="Aptos" w:hAnsi="Aptos"/>
          <w:b w:val="0"/>
          <w:i w:val="0"/>
          <w:color w:val="1F4E79"/>
          <w:sz w:val="22"/>
        </w:rPr>
        <w:t>SC-100</w:t>
      </w:r>
    </w:p>
    <w:p>
      <w:pPr>
        <w:pStyle w:val="Title"/>
        <w:spacing w:before="0" w:after="40" w:line="276" w:lineRule="auto"/>
      </w:pPr>
      <w:r>
        <w:rPr>
          <w:rFonts w:ascii="Aptos" w:hAnsi="Aptos"/>
          <w:b w:val="0"/>
          <w:i w:val="0"/>
          <w:sz w:val="22"/>
        </w:rPr>
        <w:t>Plaintiff's Claim and ORDER to Go to Small Claims Court</w:t>
      </w:r>
    </w:p>
    <w:p>
      <w:pPr>
        <w:pStyle w:val="BodyCustom"/>
        <w:spacing w:before="0" w:after="200" w:line="276" w:lineRule="auto"/>
        <w:jc w:val="left"/>
      </w:pPr>
      <w:r>
        <w:rPr>
          <w:rFonts w:ascii="Aptos" w:hAnsi="Aptos"/>
          <w:b w:val="0"/>
          <w:i w:val="0"/>
          <w:color w:val="5A5A5A"/>
          <w:sz w:val="23"/>
        </w:rPr>
        <w:t>Use this to start a small claims case when you are the person asking the court for money or property-related relief allowed in small claims.</w:t>
      </w:r>
    </w:p>
    <w:tbl>
      <w:tblPr>
        <w:tblW w:type="auto" w:w="0"/>
        <w:jc w:val="center"/>
        <w:tblLayout w:type="fixed"/>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Best use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Choose this form if you are opening the case. It is the main starting form for most small claims plaintiffs.</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Good fit when</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Use this to start a small claims case when you are the person asking the court for money or property-related relief allowed in small claims.</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Form role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Primary form</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Effective version noted</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January 1, 2026</w:t>
            </w:r>
          </w:p>
        </w:tc>
      </w:tr>
    </w:tbl>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Design intent: </w:t>
            </w:r>
            <w:r>
              <w:rPr>
                <w:rFonts w:ascii="Aptos" w:hAnsi="Aptos"/>
                <w:b w:val="0"/>
                <w:i w:val="0"/>
                <w:sz w:val="22"/>
              </w:rPr>
              <w:t>This page should feel like a confident starting point. Lead with: "Use this form to open your small claims case." Then walk the user through who they are suing, what they are asking for, why this court is the right one, and what they will need before clicking File.</w:t>
            </w:r>
          </w:p>
        </w:tc>
      </w:tr>
    </w:tbl>
    <w:p/>
    <w:p>
      <w:pPr>
        <w:pStyle w:val="Heading1"/>
        <w:spacing w:before="0" w:after="80" w:line="276" w:lineRule="auto"/>
      </w:pPr>
      <w:r>
        <w:rPr>
          <w:rFonts w:ascii="Aptos" w:hAnsi="Aptos"/>
          <w:b w:val="0"/>
          <w:i w:val="0"/>
          <w:sz w:val="22"/>
        </w:rPr>
        <w:t>When a user should choose this form</w:t>
      </w:r>
    </w:p>
    <w:p>
      <w:pPr>
        <w:pStyle w:val="ListBullet"/>
        <w:spacing w:before="0" w:after="80" w:line="276" w:lineRule="auto"/>
      </w:pPr>
      <w:r>
        <w:rPr>
          <w:rFonts w:ascii="Aptos" w:hAnsi="Aptos"/>
          <w:b w:val="0"/>
          <w:i w:val="0"/>
          <w:sz w:val="22"/>
        </w:rPr>
        <w:t>You want to sue a person, business, or agency for money in California small claims court.</w:t>
      </w:r>
    </w:p>
    <w:p>
      <w:pPr>
        <w:pStyle w:val="ListBullet"/>
        <w:spacing w:before="0" w:after="80" w:line="276" w:lineRule="auto"/>
      </w:pPr>
      <w:r>
        <w:rPr>
          <w:rFonts w:ascii="Aptos" w:hAnsi="Aptos"/>
          <w:b w:val="0"/>
          <w:i w:val="0"/>
          <w:sz w:val="22"/>
        </w:rPr>
        <w:t>You have worked out the correct legal name and service address for each defendant.</w:t>
      </w:r>
    </w:p>
    <w:p>
      <w:pPr>
        <w:pStyle w:val="ListBullet"/>
        <w:spacing w:before="0" w:after="80" w:line="276" w:lineRule="auto"/>
      </w:pPr>
      <w:r>
        <w:rPr>
          <w:rFonts w:ascii="Aptos" w:hAnsi="Aptos"/>
          <w:b w:val="0"/>
          <w:i w:val="0"/>
          <w:sz w:val="22"/>
        </w:rPr>
        <w:t>You are ready to state the amount you want, why you are owed it, and why the case belongs in that county.</w:t>
      </w:r>
    </w:p>
    <w:p>
      <w:pPr>
        <w:pStyle w:val="Heading1"/>
        <w:spacing w:before="0" w:after="80" w:line="276" w:lineRule="auto"/>
      </w:pPr>
      <w:r>
        <w:rPr>
          <w:rFonts w:ascii="Aptos" w:hAnsi="Aptos"/>
          <w:b w:val="0"/>
          <w:i w:val="0"/>
          <w:sz w:val="22"/>
        </w:rPr>
        <w:t>When a user should probably not choose this form</w:t>
      </w:r>
    </w:p>
    <w:p>
      <w:pPr>
        <w:pStyle w:val="ListBullet"/>
        <w:spacing w:before="0" w:after="80" w:line="276" w:lineRule="auto"/>
      </w:pPr>
      <w:r>
        <w:rPr>
          <w:rFonts w:ascii="Aptos" w:hAnsi="Aptos"/>
          <w:b w:val="0"/>
          <w:i w:val="0"/>
          <w:sz w:val="22"/>
        </w:rPr>
        <w:t>You are responding to a case that was filed against you. In that situation, SC-120 may be the right form.</w:t>
      </w:r>
    </w:p>
    <w:p>
      <w:pPr>
        <w:pStyle w:val="ListBullet"/>
        <w:spacing w:before="0" w:after="80" w:line="276" w:lineRule="auto"/>
      </w:pPr>
      <w:r>
        <w:rPr>
          <w:rFonts w:ascii="Aptos" w:hAnsi="Aptos"/>
          <w:b w:val="0"/>
          <w:i w:val="0"/>
          <w:sz w:val="22"/>
        </w:rPr>
        <w:t>You only need more room to list additional parties. Use SC-100A as an attachment, not as a replacement.</w:t>
      </w:r>
    </w:p>
    <w:p>
      <w:pPr>
        <w:pStyle w:val="ListBullet"/>
        <w:spacing w:before="0" w:after="80" w:line="276" w:lineRule="auto"/>
      </w:pPr>
      <w:r>
        <w:rPr>
          <w:rFonts w:ascii="Aptos" w:hAnsi="Aptos"/>
          <w:b w:val="0"/>
          <w:i w:val="0"/>
          <w:sz w:val="22"/>
        </w:rPr>
        <w:t>You need a long witness-style statement. Use MC-030 as an attachment if the court allows it.</w:t>
      </w:r>
    </w:p>
    <w:p>
      <w:pPr>
        <w:pStyle w:val="Heading1"/>
        <w:spacing w:before="0" w:after="80" w:line="276" w:lineRule="auto"/>
      </w:pPr>
      <w:r>
        <w:rPr>
          <w:rFonts w:ascii="Aptos" w:hAnsi="Aptos"/>
          <w:b w:val="0"/>
          <w:i w:val="0"/>
          <w:sz w:val="22"/>
        </w:rPr>
        <w:t>What the user should have ready</w:t>
      </w:r>
    </w:p>
    <w:p>
      <w:pPr>
        <w:pStyle w:val="ListBullet"/>
        <w:spacing w:before="0" w:after="80" w:line="276" w:lineRule="auto"/>
      </w:pPr>
      <w:r>
        <w:rPr>
          <w:rFonts w:ascii="Aptos" w:hAnsi="Aptos"/>
          <w:b w:val="0"/>
          <w:i w:val="0"/>
          <w:sz w:val="22"/>
        </w:rPr>
        <w:t>Your full name and mailing address.</w:t>
      </w:r>
    </w:p>
    <w:p>
      <w:pPr>
        <w:pStyle w:val="ListBullet"/>
        <w:spacing w:before="0" w:after="80" w:line="276" w:lineRule="auto"/>
      </w:pPr>
      <w:r>
        <w:rPr>
          <w:rFonts w:ascii="Aptos" w:hAnsi="Aptos"/>
          <w:b w:val="0"/>
          <w:i w:val="0"/>
          <w:sz w:val="22"/>
        </w:rPr>
        <w:t>The exact legal name of each defendant.</w:t>
      </w:r>
    </w:p>
    <w:p>
      <w:pPr>
        <w:pStyle w:val="ListBullet"/>
        <w:spacing w:before="0" w:after="80" w:line="276" w:lineRule="auto"/>
      </w:pPr>
      <w:r>
        <w:rPr>
          <w:rFonts w:ascii="Aptos" w:hAnsi="Aptos"/>
          <w:b w:val="0"/>
          <w:i w:val="0"/>
          <w:sz w:val="22"/>
        </w:rPr>
        <w:t>A service address for each defendant.</w:t>
      </w:r>
    </w:p>
    <w:p>
      <w:pPr>
        <w:pStyle w:val="ListBullet"/>
        <w:spacing w:before="0" w:after="80" w:line="276" w:lineRule="auto"/>
      </w:pPr>
      <w:r>
        <w:rPr>
          <w:rFonts w:ascii="Aptos" w:hAnsi="Aptos"/>
          <w:b w:val="0"/>
          <w:i w:val="0"/>
          <w:sz w:val="22"/>
        </w:rPr>
        <w:t>The amount claimed and a short, plain explanation of what happened.</w:t>
      </w:r>
    </w:p>
    <w:p>
      <w:pPr>
        <w:pStyle w:val="ListBullet"/>
        <w:spacing w:before="0" w:after="80" w:line="276" w:lineRule="auto"/>
      </w:pPr>
      <w:r>
        <w:rPr>
          <w:rFonts w:ascii="Aptos" w:hAnsi="Aptos"/>
          <w:b w:val="0"/>
          <w:i w:val="0"/>
          <w:sz w:val="22"/>
        </w:rPr>
        <w:t>The reason the county is the correct place to sue.</w:t>
      </w:r>
    </w:p>
    <w:p>
      <w:pPr>
        <w:pStyle w:val="ListBullet"/>
        <w:spacing w:before="0" w:after="80" w:line="276" w:lineRule="auto"/>
      </w:pPr>
      <w:r>
        <w:rPr>
          <w:rFonts w:ascii="Aptos" w:hAnsi="Aptos"/>
          <w:b w:val="0"/>
          <w:i w:val="0"/>
          <w:sz w:val="22"/>
        </w:rPr>
        <w:t>The courthouse address and any local filing requirements.</w:t>
      </w:r>
    </w:p>
    <w:p>
      <w:pPr>
        <w:pStyle w:val="Heading1"/>
        <w:spacing w:before="0" w:after="80" w:line="276" w:lineRule="auto"/>
      </w:pPr>
      <w:r>
        <w:rPr>
          <w:rFonts w:ascii="Aptos" w:hAnsi="Aptos"/>
          <w:b w:val="0"/>
          <w:i w:val="0"/>
          <w:sz w:val="22"/>
        </w:rPr>
        <w:t>Recommended UI flow</w:t>
      </w:r>
    </w:p>
    <w:p>
      <w:pPr>
        <w:pStyle w:val="BodyCustom"/>
      </w:pPr>
    </w:p>
    <w:p>
      <w:pPr>
        <w:pStyle w:val="BodyCustom"/>
        <w:spacing w:before="0" w:after="80" w:line="276" w:lineRule="auto"/>
      </w:pPr>
      <w:r>
        <w:rPr>
          <w:rFonts w:ascii="Aptos" w:hAnsi="Aptos"/>
          <w:b/>
          <w:i w:val="0"/>
          <w:color w:val="1F4E79"/>
          <w:sz w:val="22"/>
        </w:rPr>
        <w:t xml:space="preserve">1. </w:t>
      </w:r>
      <w:r>
        <w:rPr>
          <w:rFonts w:ascii="Aptos" w:hAnsi="Aptos"/>
          <w:b w:val="0"/>
          <w:i w:val="0"/>
          <w:sz w:val="22"/>
        </w:rPr>
        <w:t>Complete the plaintiff, defendant, amount, and "why you are suing" sections clearly and briefly.</w:t>
      </w:r>
    </w:p>
    <w:p>
      <w:pPr>
        <w:pStyle w:val="BodyCustom"/>
        <w:spacing w:before="0" w:after="80" w:line="276" w:lineRule="auto"/>
      </w:pPr>
      <w:r>
        <w:rPr>
          <w:rFonts w:ascii="Aptos" w:hAnsi="Aptos"/>
          <w:b/>
          <w:i w:val="0"/>
          <w:color w:val="1F4E79"/>
          <w:sz w:val="22"/>
        </w:rPr>
        <w:t xml:space="preserve">2. </w:t>
      </w:r>
      <w:r>
        <w:rPr>
          <w:rFonts w:ascii="Aptos" w:hAnsi="Aptos"/>
          <w:b w:val="0"/>
          <w:i w:val="0"/>
          <w:sz w:val="22"/>
        </w:rPr>
        <w:t>Check the county-venue reason carefully. A wrong county can delay or sink the case.</w:t>
      </w:r>
    </w:p>
    <w:p>
      <w:pPr>
        <w:pStyle w:val="BodyCustom"/>
        <w:spacing w:before="0" w:after="80" w:line="276" w:lineRule="auto"/>
      </w:pPr>
      <w:r>
        <w:rPr>
          <w:rFonts w:ascii="Aptos" w:hAnsi="Aptos"/>
          <w:b/>
          <w:i w:val="0"/>
          <w:color w:val="1F4E79"/>
          <w:sz w:val="22"/>
        </w:rPr>
        <w:t xml:space="preserve">3. </w:t>
      </w:r>
      <w:r>
        <w:rPr>
          <w:rFonts w:ascii="Aptos" w:hAnsi="Aptos"/>
          <w:b w:val="0"/>
          <w:i w:val="0"/>
          <w:sz w:val="22"/>
        </w:rPr>
        <w:t>Attach SC-100A if you need more party lines, and SC-103 if you are suing under a fictitious business name.</w:t>
      </w:r>
    </w:p>
    <w:p>
      <w:pPr>
        <w:pStyle w:val="BodyCustom"/>
        <w:spacing w:before="0" w:after="80" w:line="276" w:lineRule="auto"/>
      </w:pPr>
      <w:r>
        <w:rPr>
          <w:rFonts w:ascii="Aptos" w:hAnsi="Aptos"/>
          <w:b/>
          <w:i w:val="0"/>
          <w:color w:val="1F4E79"/>
          <w:sz w:val="22"/>
        </w:rPr>
        <w:t xml:space="preserve">4. </w:t>
      </w:r>
      <w:r>
        <w:rPr>
          <w:rFonts w:ascii="Aptos" w:hAnsi="Aptos"/>
          <w:b w:val="0"/>
          <w:i w:val="0"/>
          <w:sz w:val="22"/>
        </w:rPr>
        <w:t>Make copies, file the form, pay the fee or request a fee waiver, then have the filed claim served correctly.</w:t>
      </w:r>
    </w:p>
    <w:p>
      <w:pPr>
        <w:pStyle w:val="Heading1"/>
        <w:spacing w:before="0" w:after="80" w:line="276" w:lineRule="auto"/>
      </w:pPr>
      <w:r>
        <w:rPr>
          <w:rFonts w:ascii="Aptos" w:hAnsi="Aptos"/>
          <w:b w:val="0"/>
          <w:i w:val="0"/>
          <w:sz w:val="22"/>
        </w:rPr>
        <w:t>Decision warnings and coaching prompts</w:t>
      </w:r>
    </w:p>
    <w:p>
      <w:pPr>
        <w:pStyle w:val="ListBullet"/>
        <w:spacing w:before="0" w:after="80" w:line="276" w:lineRule="auto"/>
      </w:pPr>
      <w:r>
        <w:rPr>
          <w:rFonts w:ascii="Aptos" w:hAnsi="Aptos"/>
          <w:b w:val="0"/>
          <w:i w:val="0"/>
          <w:sz w:val="22"/>
        </w:rPr>
        <w:t>Naming the wrong defendant is one of the biggest small-claims mistakes because it can make collection difficult even if you win.</w:t>
      </w:r>
    </w:p>
    <w:p>
      <w:pPr>
        <w:pStyle w:val="ListBullet"/>
        <w:spacing w:before="0" w:after="80" w:line="276" w:lineRule="auto"/>
      </w:pPr>
      <w:r>
        <w:rPr>
          <w:rFonts w:ascii="Aptos" w:hAnsi="Aptos"/>
          <w:b w:val="0"/>
          <w:i w:val="0"/>
          <w:sz w:val="22"/>
        </w:rPr>
        <w:t>Do not overload the "why" section with a long story. In the UI, guide users toward a short facts-first summary and let supporting detail live in attachments or evidence uploads.</w:t>
      </w:r>
    </w:p>
    <w:p>
      <w:pPr>
        <w:pStyle w:val="ListBullet"/>
        <w:spacing w:before="0" w:after="80" w:line="276" w:lineRule="auto"/>
      </w:pPr>
      <w:r>
        <w:rPr>
          <w:rFonts w:ascii="Aptos" w:hAnsi="Aptos"/>
          <w:b w:val="0"/>
          <w:i w:val="0"/>
          <w:sz w:val="22"/>
        </w:rPr>
        <w:t>After filing, service deadlines matter. Personal service is usually due at least 15 days before trial, or 20 days if the defendant is in another county.</w:t>
      </w:r>
    </w:p>
    <w:p>
      <w:pPr>
        <w:pStyle w:val="Heading1"/>
        <w:spacing w:before="0" w:after="80" w:line="276" w:lineRule="auto"/>
      </w:pPr>
      <w:r>
        <w:rPr>
          <w:rFonts w:ascii="Aptos" w:hAnsi="Aptos"/>
          <w:b w:val="0"/>
          <w:i w:val="0"/>
          <w:sz w:val="22"/>
        </w:rPr>
        <w:t>Related forms and next steps</w:t>
      </w:r>
    </w:p>
    <w:p>
      <w:pPr>
        <w:pStyle w:val="ListBullet"/>
        <w:spacing w:before="0" w:after="80" w:line="276" w:lineRule="auto"/>
      </w:pPr>
      <w:r>
        <w:rPr>
          <w:rFonts w:ascii="Aptos" w:hAnsi="Aptos"/>
          <w:b w:val="0"/>
          <w:i w:val="0"/>
          <w:sz w:val="22"/>
        </w:rPr>
        <w:t>SC-100A for additional plaintiffs or defendants</w:t>
      </w:r>
    </w:p>
    <w:p>
      <w:pPr>
        <w:pStyle w:val="ListBullet"/>
        <w:spacing w:before="0" w:after="80" w:line="276" w:lineRule="auto"/>
      </w:pPr>
      <w:r>
        <w:rPr>
          <w:rFonts w:ascii="Aptos" w:hAnsi="Aptos"/>
          <w:b w:val="0"/>
          <w:i w:val="0"/>
          <w:sz w:val="22"/>
        </w:rPr>
        <w:t>SC-103 for fictitious business names</w:t>
      </w:r>
    </w:p>
    <w:p>
      <w:pPr>
        <w:pStyle w:val="ListBullet"/>
        <w:spacing w:before="0" w:after="80" w:line="276" w:lineRule="auto"/>
      </w:pPr>
      <w:r>
        <w:rPr>
          <w:rFonts w:ascii="Aptos" w:hAnsi="Aptos"/>
          <w:b w:val="0"/>
          <w:i w:val="0"/>
          <w:sz w:val="22"/>
        </w:rPr>
        <w:t>SC-104 to prove the filed claim was served</w:t>
      </w:r>
    </w:p>
    <w:p>
      <w:pPr>
        <w:pStyle w:val="ListBullet"/>
        <w:spacing w:before="0" w:after="80" w:line="276" w:lineRule="auto"/>
      </w:pPr>
      <w:r>
        <w:rPr>
          <w:rFonts w:ascii="Aptos" w:hAnsi="Aptos"/>
          <w:b w:val="0"/>
          <w:i w:val="0"/>
          <w:sz w:val="22"/>
        </w:rPr>
        <w:t>SC-150 if the trial date later needs to be postponed</w:t>
      </w:r>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Source approach: </w:t>
            </w:r>
            <w:r>
              <w:rPr>
                <w:rFonts w:ascii="Aptos" w:hAnsi="Aptos"/>
                <w:b w:val="0"/>
                <w:i w:val="0"/>
                <w:sz w:val="22"/>
              </w:rPr>
              <w:t>This guide was drafted from official California Courts Self-Help form pages and related small-claims process pages, then rewritten into product-facing language for users who may not know court forms.</w:t>
            </w:r>
          </w:p>
        </w:tc>
      </w:tr>
    </w:tbl>
    <w:p/>
    <w:p>
      <w:pPr>
        <w:pStyle w:val="Heading1"/>
        <w:spacing w:before="0" w:after="80" w:line="276" w:lineRule="auto"/>
      </w:pPr>
      <w:r>
        <w:rPr>
          <w:rFonts w:ascii="Aptos" w:hAnsi="Aptos"/>
          <w:b w:val="0"/>
          <w:i w:val="0"/>
          <w:sz w:val="22"/>
        </w:rPr>
        <w:t>Suggested tile-page summary</w:t>
      </w:r>
    </w:p>
    <w:p>
      <w:pPr>
        <w:pStyle w:val="BodyCustom"/>
        <w:spacing w:before="0" w:after="160" w:line="276" w:lineRule="auto"/>
      </w:pPr>
      <w:r>
        <w:rPr>
          <w:rFonts w:ascii="Aptos" w:hAnsi="Aptos"/>
          <w:b w:val="0"/>
          <w:i w:val="0"/>
          <w:sz w:val="22"/>
        </w:rPr>
        <w:t>SC-100 is best presented as a decision page, not just a static description. The page should help a user quickly decide whether Plaintiff's Claim and ORDER to Go to Small Claims Court is the right form, what information they need before they begin, and what usually happens after filing or serving it. Users should leave the page with a clear yes-or-no answer and a realistic next step.</w:t>
      </w:r>
    </w:p>
    <w:p>
      <w:pPr>
        <w:pStyle w:val="Heading2"/>
        <w:spacing w:before="0" w:after="40" w:line="276" w:lineRule="auto"/>
      </w:pPr>
      <w:r>
        <w:rPr>
          <w:rFonts w:ascii="Aptos" w:hAnsi="Aptos"/>
          <w:b w:val="0"/>
          <w:i w:val="0"/>
          <w:sz w:val="22"/>
        </w:rPr>
        <w:t>Official-source note</w:t>
      </w:r>
    </w:p>
    <w:p>
      <w:pPr>
        <w:pStyle w:val="BodyCustom"/>
        <w:spacing w:before="0" w:after="0" w:line="276" w:lineRule="auto"/>
      </w:pPr>
      <w:r>
        <w:rPr>
          <w:rFonts w:ascii="Aptos" w:hAnsi="Aptos"/>
          <w:b w:val="0"/>
          <w:i w:val="0"/>
          <w:color w:val="5A5A5A"/>
          <w:sz w:val="21"/>
        </w:rPr>
        <w:t>Effective date referenced: January 1, 2026. Always confirm the current Judicial Council version and any county-specific local forms before release.</w:t>
      </w:r>
    </w:p>
    <w:sectPr w:rsidR="00FC693F" w:rsidRPr="0006063C" w:rsidSect="00034616">
      <w:footerReference w:type="default" r:id="rId9"/>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ptos" w:hAnsi="Aptos"/>
        <w:b w:val="0"/>
        <w:i w:val="0"/>
        <w:color w:val="5A5A5A"/>
        <w:sz w:val="18"/>
      </w:rPr>
      <w:t>Small Claims UI Draft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basedOn w:val="Normal"/>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