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0" w:after="40" w:line="276" w:lineRule="auto"/>
      </w:pPr>
      <w:r>
        <w:rPr>
          <w:rFonts w:ascii="Aptos" w:hAnsi="Aptos"/>
          <w:b w:val="0"/>
          <w:i w:val="0"/>
          <w:color w:val="1F4E79"/>
          <w:sz w:val="22"/>
        </w:rPr>
        <w:t>SC-104</w:t>
      </w:r>
    </w:p>
    <w:p>
      <w:pPr>
        <w:pStyle w:val="Title"/>
        <w:spacing w:before="0" w:after="40" w:line="276" w:lineRule="auto"/>
      </w:pPr>
      <w:r>
        <w:rPr>
          <w:rFonts w:ascii="Aptos" w:hAnsi="Aptos"/>
          <w:b w:val="0"/>
          <w:i w:val="0"/>
          <w:sz w:val="22"/>
        </w:rPr>
        <w:t>Proof of Service</w:t>
      </w:r>
    </w:p>
    <w:p>
      <w:pPr>
        <w:pStyle w:val="BodyCustom"/>
        <w:spacing w:before="0" w:after="200" w:line="276" w:lineRule="auto"/>
        <w:jc w:val="left"/>
      </w:pPr>
      <w:r>
        <w:rPr>
          <w:rFonts w:ascii="Aptos" w:hAnsi="Aptos"/>
          <w:b w:val="0"/>
          <w:i w:val="0"/>
          <w:color w:val="5A5A5A"/>
          <w:sz w:val="23"/>
        </w:rPr>
        <w:t>Use this after someone else personally serves the filed small claims papers so the court knows service happened correctly.</w:t>
      </w:r>
    </w:p>
    <w:tbl>
      <w:tblPr>
        <w:tblW w:type="auto" w:w="0"/>
        <w:jc w:val="center"/>
        <w:tblLayout w:type="fixed"/>
        <w:tblLook w:firstColumn="1" w:firstRow="1" w:lastColumn="0" w:lastRow="0" w:noHBand="0" w:noVBand="1" w:val="04A0"/>
      </w:tblPr>
      <w:tblGrid>
        <w:gridCol w:w="4968"/>
        <w:gridCol w:w="4968"/>
      </w:tblGrid>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Best use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Choose this form after in-person service of the claim. It is not the form that starts the case; it proves delivery of filed papers.</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Good fit when</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Use this after someone else personally serves the filed small claims papers so the court knows service happened correctly.</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Form role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Primary form</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Effective version noted</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January 1, 2009</w:t>
            </w:r>
          </w:p>
        </w:tc>
      </w:tr>
    </w:tbl>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Design intent: </w:t>
            </w:r>
            <w:r>
              <w:rPr>
                <w:rFonts w:ascii="Aptos" w:hAnsi="Aptos"/>
                <w:b w:val="0"/>
                <w:i w:val="0"/>
                <w:sz w:val="22"/>
              </w:rPr>
              <w:t>This page should frame the form as a receipt to the court: "You already served the papers. Now prove it." Keep the instructions task-based and server-focused.</w:t>
            </w:r>
          </w:p>
        </w:tc>
      </w:tr>
    </w:tbl>
    <w:p/>
    <w:p>
      <w:pPr>
        <w:pStyle w:val="Heading1"/>
        <w:spacing w:before="0" w:after="80" w:line="276" w:lineRule="auto"/>
      </w:pPr>
      <w:r>
        <w:rPr>
          <w:rFonts w:ascii="Aptos" w:hAnsi="Aptos"/>
          <w:b w:val="0"/>
          <w:i w:val="0"/>
          <w:sz w:val="22"/>
        </w:rPr>
        <w:t>When a user should choose this form</w:t>
      </w:r>
    </w:p>
    <w:p>
      <w:pPr>
        <w:pStyle w:val="ListBullet"/>
        <w:spacing w:before="0" w:after="80" w:line="276" w:lineRule="auto"/>
      </w:pPr>
      <w:r>
        <w:rPr>
          <w:rFonts w:ascii="Aptos" w:hAnsi="Aptos"/>
          <w:b w:val="0"/>
          <w:i w:val="0"/>
          <w:sz w:val="22"/>
        </w:rPr>
        <w:t>A non-party adult personally handed the filed small claims papers to the person or entity that had to be served.</w:t>
      </w:r>
    </w:p>
    <w:p>
      <w:pPr>
        <w:pStyle w:val="ListBullet"/>
        <w:spacing w:before="0" w:after="80" w:line="276" w:lineRule="auto"/>
      </w:pPr>
      <w:r>
        <w:rPr>
          <w:rFonts w:ascii="Aptos" w:hAnsi="Aptos"/>
          <w:b w:val="0"/>
          <w:i w:val="0"/>
          <w:sz w:val="22"/>
        </w:rPr>
        <w:t>You need to show the court who served, when service happened, and how it was done.</w:t>
      </w:r>
    </w:p>
    <w:p>
      <w:pPr>
        <w:pStyle w:val="Heading1"/>
        <w:spacing w:before="0" w:after="80" w:line="276" w:lineRule="auto"/>
      </w:pPr>
      <w:r>
        <w:rPr>
          <w:rFonts w:ascii="Aptos" w:hAnsi="Aptos"/>
          <w:b w:val="0"/>
          <w:i w:val="0"/>
          <w:sz w:val="22"/>
        </w:rPr>
        <w:t>When a user should probably not choose this form</w:t>
      </w:r>
    </w:p>
    <w:p>
      <w:pPr>
        <w:pStyle w:val="ListBullet"/>
        <w:spacing w:before="0" w:after="80" w:line="276" w:lineRule="auto"/>
      </w:pPr>
      <w:r>
        <w:rPr>
          <w:rFonts w:ascii="Aptos" w:hAnsi="Aptos"/>
          <w:b w:val="0"/>
          <w:i w:val="0"/>
          <w:sz w:val="22"/>
        </w:rPr>
        <w:t>You are mailing service papers instead of proving personal service. Another proof-of-service form may be needed.</w:t>
      </w:r>
    </w:p>
    <w:p>
      <w:pPr>
        <w:pStyle w:val="ListBullet"/>
        <w:spacing w:before="0" w:after="80" w:line="276" w:lineRule="auto"/>
      </w:pPr>
      <w:r>
        <w:rPr>
          <w:rFonts w:ascii="Aptos" w:hAnsi="Aptos"/>
          <w:b w:val="0"/>
          <w:i w:val="0"/>
          <w:sz w:val="22"/>
        </w:rPr>
        <w:t>You are trying to serve papers yourself. The filing party cannot usually be the server.</w:t>
      </w:r>
    </w:p>
    <w:p>
      <w:pPr>
        <w:pStyle w:val="Heading1"/>
        <w:spacing w:before="0" w:after="80" w:line="276" w:lineRule="auto"/>
      </w:pPr>
      <w:r>
        <w:rPr>
          <w:rFonts w:ascii="Aptos" w:hAnsi="Aptos"/>
          <w:b w:val="0"/>
          <w:i w:val="0"/>
          <w:sz w:val="22"/>
        </w:rPr>
        <w:t>What the user should have ready</w:t>
      </w:r>
    </w:p>
    <w:p>
      <w:pPr>
        <w:pStyle w:val="ListBullet"/>
        <w:spacing w:before="0" w:after="80" w:line="276" w:lineRule="auto"/>
      </w:pPr>
      <w:r>
        <w:rPr>
          <w:rFonts w:ascii="Aptos" w:hAnsi="Aptos"/>
          <w:b w:val="0"/>
          <w:i w:val="0"/>
          <w:sz w:val="22"/>
        </w:rPr>
        <w:t>Server name, age eligibility, and address.</w:t>
      </w:r>
    </w:p>
    <w:p>
      <w:pPr>
        <w:pStyle w:val="ListBullet"/>
        <w:spacing w:before="0" w:after="80" w:line="276" w:lineRule="auto"/>
      </w:pPr>
      <w:r>
        <w:rPr>
          <w:rFonts w:ascii="Aptos" w:hAnsi="Aptos"/>
          <w:b w:val="0"/>
          <w:i w:val="0"/>
          <w:sz w:val="22"/>
        </w:rPr>
        <w:t>Date, time, and place of service.</w:t>
      </w:r>
    </w:p>
    <w:p>
      <w:pPr>
        <w:pStyle w:val="ListBullet"/>
        <w:spacing w:before="0" w:after="80" w:line="276" w:lineRule="auto"/>
      </w:pPr>
      <w:r>
        <w:rPr>
          <w:rFonts w:ascii="Aptos" w:hAnsi="Aptos"/>
          <w:b w:val="0"/>
          <w:i w:val="0"/>
          <w:sz w:val="22"/>
        </w:rPr>
        <w:t>Identity of the person who actually received the papers.</w:t>
      </w:r>
    </w:p>
    <w:p>
      <w:pPr>
        <w:pStyle w:val="ListBullet"/>
        <w:spacing w:before="0" w:after="80" w:line="276" w:lineRule="auto"/>
      </w:pPr>
      <w:r>
        <w:rPr>
          <w:rFonts w:ascii="Aptos" w:hAnsi="Aptos"/>
          <w:b w:val="0"/>
          <w:i w:val="0"/>
          <w:sz w:val="22"/>
        </w:rPr>
        <w:t>Case information that matches the filed claim exactly.</w:t>
      </w:r>
    </w:p>
    <w:p>
      <w:pPr>
        <w:pStyle w:val="Heading1"/>
        <w:spacing w:before="0" w:after="80" w:line="276" w:lineRule="auto"/>
      </w:pPr>
      <w:r>
        <w:rPr>
          <w:rFonts w:ascii="Aptos" w:hAnsi="Aptos"/>
          <w:b w:val="0"/>
          <w:i w:val="0"/>
          <w:sz w:val="22"/>
        </w:rPr>
        <w:t>Recommended UI flow</w:t>
      </w:r>
    </w:p>
    <w:p>
      <w:pPr>
        <w:pStyle w:val="BodyCustom"/>
      </w:pPr>
    </w:p>
    <w:p>
      <w:pPr>
        <w:pStyle w:val="BodyCustom"/>
        <w:spacing w:before="0" w:after="80" w:line="276" w:lineRule="auto"/>
      </w:pPr>
      <w:r>
        <w:rPr>
          <w:rFonts w:ascii="Aptos" w:hAnsi="Aptos"/>
          <w:b/>
          <w:i w:val="0"/>
          <w:color w:val="1F4E79"/>
          <w:sz w:val="22"/>
        </w:rPr>
        <w:t xml:space="preserve">1. </w:t>
      </w:r>
      <w:r>
        <w:rPr>
          <w:rFonts w:ascii="Aptos" w:hAnsi="Aptos"/>
          <w:b w:val="0"/>
          <w:i w:val="0"/>
          <w:sz w:val="22"/>
        </w:rPr>
        <w:t>Have the server fill it out and sign it.</w:t>
      </w:r>
    </w:p>
    <w:p>
      <w:pPr>
        <w:pStyle w:val="BodyCustom"/>
        <w:spacing w:before="0" w:after="80" w:line="276" w:lineRule="auto"/>
      </w:pPr>
      <w:r>
        <w:rPr>
          <w:rFonts w:ascii="Aptos" w:hAnsi="Aptos"/>
          <w:b/>
          <w:i w:val="0"/>
          <w:color w:val="1F4E79"/>
          <w:sz w:val="22"/>
        </w:rPr>
        <w:t xml:space="preserve">2. </w:t>
      </w:r>
      <w:r>
        <w:rPr>
          <w:rFonts w:ascii="Aptos" w:hAnsi="Aptos"/>
          <w:b w:val="0"/>
          <w:i w:val="0"/>
          <w:sz w:val="22"/>
        </w:rPr>
        <w:t>Review the details for accuracy before filing it with the court.</w:t>
      </w:r>
    </w:p>
    <w:p>
      <w:pPr>
        <w:pStyle w:val="BodyCustom"/>
        <w:spacing w:before="0" w:after="80" w:line="276" w:lineRule="auto"/>
      </w:pPr>
      <w:r>
        <w:rPr>
          <w:rFonts w:ascii="Aptos" w:hAnsi="Aptos"/>
          <w:b/>
          <w:i w:val="0"/>
          <w:color w:val="1F4E79"/>
          <w:sz w:val="22"/>
        </w:rPr>
        <w:t xml:space="preserve">3. </w:t>
      </w:r>
      <w:r>
        <w:rPr>
          <w:rFonts w:ascii="Aptos" w:hAnsi="Aptos"/>
          <w:b w:val="0"/>
          <w:i w:val="0"/>
          <w:sz w:val="22"/>
        </w:rPr>
        <w:t>File it promptly so the judge can see service was completed before trial.</w:t>
      </w:r>
    </w:p>
    <w:p>
      <w:pPr>
        <w:pStyle w:val="Heading1"/>
        <w:spacing w:before="0" w:after="80" w:line="276" w:lineRule="auto"/>
      </w:pPr>
      <w:r>
        <w:rPr>
          <w:rFonts w:ascii="Aptos" w:hAnsi="Aptos"/>
          <w:b w:val="0"/>
          <w:i w:val="0"/>
          <w:sz w:val="22"/>
        </w:rPr>
        <w:t>Decision warnings and coaching prompts</w:t>
      </w:r>
    </w:p>
    <w:p>
      <w:pPr>
        <w:pStyle w:val="ListBullet"/>
        <w:spacing w:before="0" w:after="80" w:line="276" w:lineRule="auto"/>
      </w:pPr>
      <w:r>
        <w:rPr>
          <w:rFonts w:ascii="Aptos" w:hAnsi="Aptos"/>
          <w:b w:val="0"/>
          <w:i w:val="0"/>
          <w:sz w:val="22"/>
        </w:rPr>
        <w:t>Service is a technical step. If it is wrong, the hearing can be delayed or the case can be dismissed.</w:t>
      </w:r>
    </w:p>
    <w:p>
      <w:pPr>
        <w:pStyle w:val="ListBullet"/>
        <w:spacing w:before="0" w:after="80" w:line="276" w:lineRule="auto"/>
      </w:pPr>
      <w:r>
        <w:rPr>
          <w:rFonts w:ascii="Aptos" w:hAnsi="Aptos"/>
          <w:b w:val="0"/>
          <w:i w:val="0"/>
          <w:sz w:val="22"/>
        </w:rPr>
        <w:t>The user interface should stress that the plaintiff cannot serve the papers personally.</w:t>
      </w:r>
    </w:p>
    <w:p>
      <w:pPr>
        <w:pStyle w:val="ListBullet"/>
        <w:spacing w:before="0" w:after="80" w:line="276" w:lineRule="auto"/>
      </w:pPr>
      <w:r>
        <w:rPr>
          <w:rFonts w:ascii="Aptos" w:hAnsi="Aptos"/>
          <w:b w:val="0"/>
          <w:i w:val="0"/>
          <w:sz w:val="22"/>
        </w:rPr>
        <w:t>If substituted service was used, users may need additional mailing proof and must follow stricter timing rules.</w:t>
      </w:r>
    </w:p>
    <w:p>
      <w:pPr>
        <w:pStyle w:val="Heading1"/>
        <w:spacing w:before="0" w:after="80" w:line="276" w:lineRule="auto"/>
      </w:pPr>
      <w:r>
        <w:rPr>
          <w:rFonts w:ascii="Aptos" w:hAnsi="Aptos"/>
          <w:b w:val="0"/>
          <w:i w:val="0"/>
          <w:sz w:val="22"/>
        </w:rPr>
        <w:t>Related forms and next steps</w:t>
      </w:r>
    </w:p>
    <w:p>
      <w:pPr>
        <w:pStyle w:val="ListBullet"/>
        <w:spacing w:before="0" w:after="80" w:line="276" w:lineRule="auto"/>
      </w:pPr>
      <w:r>
        <w:rPr>
          <w:rFonts w:ascii="Aptos" w:hAnsi="Aptos"/>
          <w:b w:val="0"/>
          <w:i w:val="0"/>
          <w:sz w:val="22"/>
        </w:rPr>
        <w:t>SC-104B for explanation of service</w:t>
      </w:r>
    </w:p>
    <w:p>
      <w:pPr>
        <w:pStyle w:val="ListBullet"/>
        <w:spacing w:before="0" w:after="80" w:line="276" w:lineRule="auto"/>
      </w:pPr>
      <w:r>
        <w:rPr>
          <w:rFonts w:ascii="Aptos" w:hAnsi="Aptos"/>
          <w:b w:val="0"/>
          <w:i w:val="0"/>
          <w:sz w:val="22"/>
        </w:rPr>
        <w:t>SC-104A if substituted service required a separate mailing proof</w:t>
      </w:r>
    </w:p>
    <w:p>
      <w:pPr>
        <w:pStyle w:val="ListBullet"/>
        <w:spacing w:before="0" w:after="80" w:line="276" w:lineRule="auto"/>
      </w:pPr>
      <w:r>
        <w:rPr>
          <w:rFonts w:ascii="Aptos" w:hAnsi="Aptos"/>
          <w:b w:val="0"/>
          <w:i w:val="0"/>
          <w:sz w:val="22"/>
        </w:rPr>
        <w:t>SC-112A when service by mail is the correct method for later papers</w:t>
      </w:r>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Source approach: </w:t>
            </w:r>
            <w:r>
              <w:rPr>
                <w:rFonts w:ascii="Aptos" w:hAnsi="Aptos"/>
                <w:b w:val="0"/>
                <w:i w:val="0"/>
                <w:sz w:val="22"/>
              </w:rPr>
              <w:t>This guide was drafted from official California Courts Self-Help form pages and related small-claims process pages, then rewritten into product-facing language for users who may not know court forms.</w:t>
            </w:r>
          </w:p>
        </w:tc>
      </w:tr>
    </w:tbl>
    <w:p/>
    <w:p>
      <w:pPr>
        <w:pStyle w:val="Heading1"/>
        <w:spacing w:before="0" w:after="80" w:line="276" w:lineRule="auto"/>
      </w:pPr>
      <w:r>
        <w:rPr>
          <w:rFonts w:ascii="Aptos" w:hAnsi="Aptos"/>
          <w:b w:val="0"/>
          <w:i w:val="0"/>
          <w:sz w:val="22"/>
        </w:rPr>
        <w:t>Suggested tile-page summary</w:t>
      </w:r>
    </w:p>
    <w:p>
      <w:pPr>
        <w:pStyle w:val="BodyCustom"/>
        <w:spacing w:before="0" w:after="160" w:line="276" w:lineRule="auto"/>
      </w:pPr>
      <w:r>
        <w:rPr>
          <w:rFonts w:ascii="Aptos" w:hAnsi="Aptos"/>
          <w:b w:val="0"/>
          <w:i w:val="0"/>
          <w:sz w:val="22"/>
        </w:rPr>
        <w:t>SC-104 is best presented as a decision page, not just a static description. The page should help a user quickly decide whether Proof of Service is the right form, what information they need before they begin, and what usually happens after filing or serving it. Users should leave the page with a clear yes-or-no answer and a realistic next step.</w:t>
      </w:r>
    </w:p>
    <w:p>
      <w:pPr>
        <w:pStyle w:val="Heading2"/>
        <w:spacing w:before="0" w:after="40" w:line="276" w:lineRule="auto"/>
      </w:pPr>
      <w:r>
        <w:rPr>
          <w:rFonts w:ascii="Aptos" w:hAnsi="Aptos"/>
          <w:b w:val="0"/>
          <w:i w:val="0"/>
          <w:sz w:val="22"/>
        </w:rPr>
        <w:t>Official-source note</w:t>
      </w:r>
    </w:p>
    <w:p>
      <w:pPr>
        <w:pStyle w:val="BodyCustom"/>
        <w:spacing w:before="0" w:after="0" w:line="276" w:lineRule="auto"/>
      </w:pPr>
      <w:r>
        <w:rPr>
          <w:rFonts w:ascii="Aptos" w:hAnsi="Aptos"/>
          <w:b w:val="0"/>
          <w:i w:val="0"/>
          <w:color w:val="5A5A5A"/>
          <w:sz w:val="21"/>
        </w:rPr>
        <w:t>Effective date referenced: January 1, 2009. Always confirm the current Judicial Council version and any county-specific local forms before release.</w:t>
      </w:r>
    </w:p>
    <w:sectPr w:rsidR="00FC693F" w:rsidRPr="0006063C" w:rsidSect="00034616">
      <w:footerReference w:type="default" r:id="rId9"/>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Aptos" w:hAnsi="Aptos"/>
        <w:b w:val="0"/>
        <w:i w:val="0"/>
        <w:color w:val="5A5A5A"/>
        <w:sz w:val="18"/>
      </w:rPr>
      <w:t>Small Claims UI Draft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basedOn w:val="Normal"/>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