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before="0" w:after="40" w:line="276" w:lineRule="auto"/>
      </w:pPr>
      <w:r>
        <w:rPr>
          <w:rFonts w:ascii="Aptos" w:hAnsi="Aptos"/>
          <w:b w:val="0"/>
          <w:i w:val="0"/>
          <w:color w:val="1F4E79"/>
          <w:sz w:val="22"/>
        </w:rPr>
        <w:t>SC-105</w:t>
      </w:r>
    </w:p>
    <w:p>
      <w:pPr>
        <w:pStyle w:val="Title"/>
        <w:spacing w:before="0" w:after="40" w:line="276" w:lineRule="auto"/>
      </w:pPr>
      <w:r>
        <w:rPr>
          <w:rFonts w:ascii="Aptos" w:hAnsi="Aptos"/>
          <w:b w:val="0"/>
          <w:i w:val="0"/>
          <w:sz w:val="22"/>
        </w:rPr>
        <w:t>Request for Court Order and Answer</w:t>
      </w:r>
    </w:p>
    <w:p>
      <w:pPr>
        <w:pStyle w:val="BodyCustom"/>
        <w:spacing w:before="0" w:after="200" w:line="276" w:lineRule="auto"/>
        <w:jc w:val="left"/>
      </w:pPr>
      <w:r>
        <w:rPr>
          <w:rFonts w:ascii="Aptos" w:hAnsi="Aptos"/>
          <w:b w:val="0"/>
          <w:i w:val="0"/>
          <w:color w:val="5A5A5A"/>
          <w:sz w:val="23"/>
        </w:rPr>
        <w:t>Use this to ask the judge to decide a smaller procedural issue before or after trial, or to respond when someone else has filed the same request.</w:t>
      </w:r>
    </w:p>
    <w:tbl>
      <w:tblPr>
        <w:tblW w:type="auto" w:w="0"/>
        <w:jc w:val="center"/>
        <w:tblLayout w:type="fixed"/>
        <w:tblLook w:firstColumn="1" w:firstRow="1" w:lastColumn="0" w:lastRow="0" w:noHBand="0" w:noVBand="1" w:val="04A0"/>
      </w:tblPr>
      <w:tblGrid>
        <w:gridCol w:w="4968"/>
        <w:gridCol w:w="4968"/>
      </w:tblGrid>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Best use</w:t>
            </w:r>
          </w:p>
        </w:tc>
        <w:tc>
          <w:tcPr>
            <w:tcW w:type="dxa" w:w="6912"/>
            <w:tcMar>
              <w:top w:w="80" w:type="dxa"/>
              <w:start w:w="100" w:type="dxa"/>
              <w:bottom w:w="80" w:type="dxa"/>
              <w:end w:w="100" w:type="dxa"/>
            </w:tcMar>
            <w:vAlign w:val="center"/>
            <w:shd w:fill="F9FBFD"/>
          </w:tcPr>
          <w:p>
            <w:pPr>
              <w:spacing w:before="0" w:after="40" w:line="276" w:lineRule="auto"/>
            </w:pPr>
            <w:r>
              <w:rPr>
                <w:rFonts w:ascii="Aptos" w:hAnsi="Aptos"/>
                <w:b w:val="0"/>
                <w:i w:val="0"/>
                <w:sz w:val="21"/>
              </w:rPr>
              <w:t>Choose this form when you need the court to rule on a case-management issue rather than decide the entire money dispute.</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Good fit when</w:t>
            </w:r>
          </w:p>
        </w:tc>
        <w:tc>
          <w:tcPr>
            <w:tcW w:type="dxa" w:w="6912"/>
            <w:tcMar>
              <w:top w:w="80" w:type="dxa"/>
              <w:start w:w="100" w:type="dxa"/>
              <w:bottom w:w="80" w:type="dxa"/>
              <w:end w:w="100" w:type="dxa"/>
            </w:tcMar>
            <w:vAlign w:val="center"/>
          </w:tcPr>
          <w:p>
            <w:pPr>
              <w:spacing w:before="0" w:after="40" w:line="276" w:lineRule="auto"/>
            </w:pPr>
            <w:r>
              <w:rPr>
                <w:rFonts w:ascii="Aptos" w:hAnsi="Aptos"/>
                <w:b w:val="0"/>
                <w:i w:val="0"/>
                <w:sz w:val="21"/>
              </w:rPr>
              <w:t>Use this to ask the judge to decide a smaller procedural issue before or after trial, or to respond when someone else has filed the same request.</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Form role</w:t>
            </w:r>
          </w:p>
        </w:tc>
        <w:tc>
          <w:tcPr>
            <w:tcW w:type="dxa" w:w="6912"/>
            <w:tcMar>
              <w:top w:w="80" w:type="dxa"/>
              <w:start w:w="100" w:type="dxa"/>
              <w:bottom w:w="80" w:type="dxa"/>
              <w:end w:w="100" w:type="dxa"/>
            </w:tcMar>
            <w:vAlign w:val="center"/>
            <w:shd w:fill="F9FBFD"/>
          </w:tcPr>
          <w:p>
            <w:pPr>
              <w:spacing w:before="0" w:after="40" w:line="276" w:lineRule="auto"/>
            </w:pPr>
            <w:r>
              <w:rPr>
                <w:rFonts w:ascii="Aptos" w:hAnsi="Aptos"/>
                <w:b w:val="0"/>
                <w:i w:val="0"/>
                <w:sz w:val="21"/>
              </w:rPr>
              <w:t>Primary form</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Effective version noted</w:t>
            </w:r>
          </w:p>
        </w:tc>
        <w:tc>
          <w:tcPr>
            <w:tcW w:type="dxa" w:w="6912"/>
            <w:tcMar>
              <w:top w:w="80" w:type="dxa"/>
              <w:start w:w="100" w:type="dxa"/>
              <w:bottom w:w="80" w:type="dxa"/>
              <w:end w:w="100" w:type="dxa"/>
            </w:tcMar>
            <w:vAlign w:val="center"/>
          </w:tcPr>
          <w:p>
            <w:pPr>
              <w:spacing w:before="0" w:after="40" w:line="276" w:lineRule="auto"/>
            </w:pPr>
            <w:r>
              <w:rPr>
                <w:rFonts w:ascii="Aptos" w:hAnsi="Aptos"/>
                <w:b w:val="0"/>
                <w:i w:val="0"/>
                <w:sz w:val="21"/>
              </w:rPr>
              <w:t>July 1, 2025</w:t>
            </w:r>
          </w:p>
        </w:tc>
      </w:tr>
    </w:tbl>
    <w:p/>
    <w:tbl>
      <w:tblPr>
        <w:tblW w:type="auto" w:w="0"/>
        <w:jc w:val="center"/>
        <w:tblLayout w:type="autofit"/>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vAlign w:val="center"/>
          </w:tcPr>
          <w:p>
            <w:pPr>
              <w:spacing w:before="0" w:after="40" w:line="276" w:lineRule="auto"/>
            </w:pPr>
            <w:r>
              <w:rPr>
                <w:rFonts w:ascii="Aptos" w:hAnsi="Aptos"/>
                <w:b/>
                <w:i w:val="0"/>
                <w:color w:val="1F4E79"/>
                <w:sz w:val="22"/>
              </w:rPr>
              <w:t xml:space="preserve">Design intent: </w:t>
            </w:r>
            <w:r>
              <w:rPr>
                <w:rFonts w:ascii="Aptos" w:hAnsi="Aptos"/>
                <w:b w:val="0"/>
                <w:i w:val="0"/>
                <w:sz w:val="22"/>
              </w:rPr>
              <w:t>Present this page as an "Ask the judge to decide something specific" tool. Good UI copy should help the user translate frustration into a clean request the judge can act on.</w:t>
            </w:r>
          </w:p>
        </w:tc>
      </w:tr>
    </w:tbl>
    <w:p/>
    <w:p>
      <w:pPr>
        <w:pStyle w:val="Heading1"/>
        <w:spacing w:before="0" w:after="80" w:line="276" w:lineRule="auto"/>
      </w:pPr>
      <w:r>
        <w:rPr>
          <w:rFonts w:ascii="Aptos" w:hAnsi="Aptos"/>
          <w:b w:val="0"/>
          <w:i w:val="0"/>
          <w:sz w:val="22"/>
        </w:rPr>
        <w:t>When a user should choose this form</w:t>
      </w:r>
    </w:p>
    <w:p>
      <w:pPr>
        <w:pStyle w:val="ListBullet"/>
        <w:spacing w:before="0" w:after="80" w:line="276" w:lineRule="auto"/>
      </w:pPr>
      <w:r>
        <w:rPr>
          <w:rFonts w:ascii="Aptos" w:hAnsi="Aptos"/>
          <w:b w:val="0"/>
          <w:i w:val="0"/>
          <w:sz w:val="22"/>
        </w:rPr>
        <w:t>You need a court order connected to the small claims case, such as changing a party name or asking for another procedural ruling allowed by the form.</w:t>
      </w:r>
    </w:p>
    <w:p>
      <w:pPr>
        <w:pStyle w:val="ListBullet"/>
        <w:spacing w:before="0" w:after="80" w:line="276" w:lineRule="auto"/>
      </w:pPr>
      <w:r>
        <w:rPr>
          <w:rFonts w:ascii="Aptos" w:hAnsi="Aptos"/>
          <w:b w:val="0"/>
          <w:i w:val="0"/>
          <w:sz w:val="22"/>
        </w:rPr>
        <w:t>The other side already filed SC-105 and you need to tell the court your side before the judge rules.</w:t>
      </w:r>
    </w:p>
    <w:p>
      <w:pPr>
        <w:pStyle w:val="Heading1"/>
        <w:spacing w:before="0" w:after="80" w:line="276" w:lineRule="auto"/>
      </w:pPr>
      <w:r>
        <w:rPr>
          <w:rFonts w:ascii="Aptos" w:hAnsi="Aptos"/>
          <w:b w:val="0"/>
          <w:i w:val="0"/>
          <w:sz w:val="22"/>
        </w:rPr>
        <w:t>When a user should probably not choose this form</w:t>
      </w:r>
    </w:p>
    <w:p>
      <w:pPr>
        <w:pStyle w:val="ListBullet"/>
        <w:spacing w:before="0" w:after="80" w:line="276" w:lineRule="auto"/>
      </w:pPr>
      <w:r>
        <w:rPr>
          <w:rFonts w:ascii="Aptos" w:hAnsi="Aptos"/>
          <w:b w:val="0"/>
          <w:i w:val="0"/>
          <w:sz w:val="22"/>
        </w:rPr>
        <w:t>You are simply asking to move the hearing date. SC-150 is usually the cleaner, more specific form for that job.</w:t>
      </w:r>
    </w:p>
    <w:p>
      <w:pPr>
        <w:pStyle w:val="ListBullet"/>
        <w:spacing w:before="0" w:after="80" w:line="276" w:lineRule="auto"/>
      </w:pPr>
      <w:r>
        <w:rPr>
          <w:rFonts w:ascii="Aptos" w:hAnsi="Aptos"/>
          <w:b w:val="0"/>
          <w:i w:val="0"/>
          <w:sz w:val="22"/>
        </w:rPr>
        <w:t>You want to explain the merits of the whole case. That belongs at trial or in any attachment the court allows, not in a procedural request form unless directly relevant.</w:t>
      </w:r>
    </w:p>
    <w:p>
      <w:pPr>
        <w:pStyle w:val="Heading1"/>
        <w:spacing w:before="0" w:after="80" w:line="276" w:lineRule="auto"/>
      </w:pPr>
      <w:r>
        <w:rPr>
          <w:rFonts w:ascii="Aptos" w:hAnsi="Aptos"/>
          <w:b w:val="0"/>
          <w:i w:val="0"/>
          <w:sz w:val="22"/>
        </w:rPr>
        <w:t>What the user should have ready</w:t>
      </w:r>
    </w:p>
    <w:p>
      <w:pPr>
        <w:pStyle w:val="ListBullet"/>
        <w:spacing w:before="0" w:after="80" w:line="276" w:lineRule="auto"/>
      </w:pPr>
      <w:r>
        <w:rPr>
          <w:rFonts w:ascii="Aptos" w:hAnsi="Aptos"/>
          <w:b w:val="0"/>
          <w:i w:val="0"/>
          <w:sz w:val="22"/>
        </w:rPr>
        <w:t>The exact order you want.</w:t>
      </w:r>
    </w:p>
    <w:p>
      <w:pPr>
        <w:pStyle w:val="ListBullet"/>
        <w:spacing w:before="0" w:after="80" w:line="276" w:lineRule="auto"/>
      </w:pPr>
      <w:r>
        <w:rPr>
          <w:rFonts w:ascii="Aptos" w:hAnsi="Aptos"/>
          <w:b w:val="0"/>
          <w:i w:val="0"/>
          <w:sz w:val="22"/>
        </w:rPr>
        <w:t>A concise explanation of why the order is needed.</w:t>
      </w:r>
    </w:p>
    <w:p>
      <w:pPr>
        <w:pStyle w:val="ListBullet"/>
        <w:spacing w:before="0" w:after="80" w:line="276" w:lineRule="auto"/>
      </w:pPr>
      <w:r>
        <w:rPr>
          <w:rFonts w:ascii="Aptos" w:hAnsi="Aptos"/>
          <w:b w:val="0"/>
          <w:i w:val="0"/>
          <w:sz w:val="22"/>
        </w:rPr>
        <w:t>Any documents that support the request.</w:t>
      </w:r>
    </w:p>
    <w:p>
      <w:pPr>
        <w:pStyle w:val="ListBullet"/>
        <w:spacing w:before="0" w:after="80" w:line="276" w:lineRule="auto"/>
      </w:pPr>
      <w:r>
        <w:rPr>
          <w:rFonts w:ascii="Aptos" w:hAnsi="Aptos"/>
          <w:b w:val="0"/>
          <w:i w:val="0"/>
          <w:sz w:val="22"/>
        </w:rPr>
        <w:t>Enough time to serve the other side if service is required.</w:t>
      </w:r>
    </w:p>
    <w:p>
      <w:pPr>
        <w:pStyle w:val="Heading1"/>
        <w:spacing w:before="0" w:after="80" w:line="276" w:lineRule="auto"/>
      </w:pPr>
      <w:r>
        <w:rPr>
          <w:rFonts w:ascii="Aptos" w:hAnsi="Aptos"/>
          <w:b w:val="0"/>
          <w:i w:val="0"/>
          <w:sz w:val="22"/>
        </w:rPr>
        <w:t>Recommended UI flow</w:t>
      </w:r>
    </w:p>
    <w:p>
      <w:pPr>
        <w:pStyle w:val="BodyCustom"/>
      </w:pPr>
    </w:p>
    <w:p>
      <w:pPr>
        <w:pStyle w:val="BodyCustom"/>
        <w:spacing w:before="0" w:after="80" w:line="276" w:lineRule="auto"/>
      </w:pPr>
      <w:r>
        <w:rPr>
          <w:rFonts w:ascii="Aptos" w:hAnsi="Aptos"/>
          <w:b/>
          <w:i w:val="0"/>
          <w:color w:val="1F4E79"/>
          <w:sz w:val="22"/>
        </w:rPr>
        <w:t xml:space="preserve">1. </w:t>
      </w:r>
      <w:r>
        <w:rPr>
          <w:rFonts w:ascii="Aptos" w:hAnsi="Aptos"/>
          <w:b w:val="0"/>
          <w:i w:val="0"/>
          <w:sz w:val="22"/>
        </w:rPr>
        <w:t>State the request in one sentence the judge can grant or deny.</w:t>
      </w:r>
    </w:p>
    <w:p>
      <w:pPr>
        <w:pStyle w:val="BodyCustom"/>
        <w:spacing w:before="0" w:after="80" w:line="276" w:lineRule="auto"/>
      </w:pPr>
      <w:r>
        <w:rPr>
          <w:rFonts w:ascii="Aptos" w:hAnsi="Aptos"/>
          <w:b/>
          <w:i w:val="0"/>
          <w:color w:val="1F4E79"/>
          <w:sz w:val="22"/>
        </w:rPr>
        <w:t xml:space="preserve">2. </w:t>
      </w:r>
      <w:r>
        <w:rPr>
          <w:rFonts w:ascii="Aptos" w:hAnsi="Aptos"/>
          <w:b w:val="0"/>
          <w:i w:val="0"/>
          <w:sz w:val="22"/>
        </w:rPr>
        <w:t>Explain the reason in a facts-first way and attach supporting proof if available.</w:t>
      </w:r>
    </w:p>
    <w:p>
      <w:pPr>
        <w:pStyle w:val="BodyCustom"/>
        <w:spacing w:before="0" w:after="80" w:line="276" w:lineRule="auto"/>
      </w:pPr>
      <w:r>
        <w:rPr>
          <w:rFonts w:ascii="Aptos" w:hAnsi="Aptos"/>
          <w:b/>
          <w:i w:val="0"/>
          <w:color w:val="1F4E79"/>
          <w:sz w:val="22"/>
        </w:rPr>
        <w:t xml:space="preserve">3. </w:t>
      </w:r>
      <w:r>
        <w:rPr>
          <w:rFonts w:ascii="Aptos" w:hAnsi="Aptos"/>
          <w:b w:val="0"/>
          <w:i w:val="0"/>
          <w:sz w:val="22"/>
        </w:rPr>
        <w:t>If you are answering someone else's SC-105, respond directly to what they asked for and explain why the judge should deny or modify it.</w:t>
      </w:r>
    </w:p>
    <w:p>
      <w:pPr>
        <w:pStyle w:val="Heading1"/>
        <w:spacing w:before="0" w:after="80" w:line="276" w:lineRule="auto"/>
      </w:pPr>
      <w:r>
        <w:rPr>
          <w:rFonts w:ascii="Aptos" w:hAnsi="Aptos"/>
          <w:b w:val="0"/>
          <w:i w:val="0"/>
          <w:sz w:val="22"/>
        </w:rPr>
        <w:t>Decision warnings and coaching prompts</w:t>
      </w:r>
    </w:p>
    <w:p>
      <w:pPr>
        <w:pStyle w:val="ListBullet"/>
        <w:spacing w:before="0" w:after="80" w:line="276" w:lineRule="auto"/>
      </w:pPr>
      <w:r>
        <w:rPr>
          <w:rFonts w:ascii="Aptos" w:hAnsi="Aptos"/>
          <w:b w:val="0"/>
          <w:i w:val="0"/>
          <w:sz w:val="22"/>
        </w:rPr>
        <w:t>This is not a general narrative form. Users do better when the interface forces them to choose a specific request and explain the practical reason.</w:t>
      </w:r>
    </w:p>
    <w:p>
      <w:pPr>
        <w:pStyle w:val="ListBullet"/>
        <w:spacing w:before="0" w:after="80" w:line="276" w:lineRule="auto"/>
      </w:pPr>
      <w:r>
        <w:rPr>
          <w:rFonts w:ascii="Aptos" w:hAnsi="Aptos"/>
          <w:b w:val="0"/>
          <w:i w:val="0"/>
          <w:sz w:val="22"/>
        </w:rPr>
        <w:t>Because local practice can vary, the page should remind users to check court-specific instructions and service requirements.</w:t>
      </w:r>
    </w:p>
    <w:p>
      <w:pPr>
        <w:pStyle w:val="Heading1"/>
        <w:spacing w:before="0" w:after="80" w:line="276" w:lineRule="auto"/>
      </w:pPr>
      <w:r>
        <w:rPr>
          <w:rFonts w:ascii="Aptos" w:hAnsi="Aptos"/>
          <w:b w:val="0"/>
          <w:i w:val="0"/>
          <w:sz w:val="22"/>
        </w:rPr>
        <w:t>Related forms and next steps</w:t>
      </w:r>
    </w:p>
    <w:p>
      <w:pPr>
        <w:pStyle w:val="ListBullet"/>
        <w:spacing w:before="0" w:after="80" w:line="276" w:lineRule="auto"/>
      </w:pPr>
      <w:r>
        <w:rPr>
          <w:rFonts w:ascii="Aptos" w:hAnsi="Aptos"/>
          <w:b w:val="0"/>
          <w:i w:val="0"/>
          <w:sz w:val="22"/>
        </w:rPr>
        <w:t>SC-105A for the court's ruling</w:t>
      </w:r>
    </w:p>
    <w:p>
      <w:pPr>
        <w:pStyle w:val="ListBullet"/>
        <w:spacing w:before="0" w:after="80" w:line="276" w:lineRule="auto"/>
      </w:pPr>
      <w:r>
        <w:rPr>
          <w:rFonts w:ascii="Aptos" w:hAnsi="Aptos"/>
          <w:b w:val="0"/>
          <w:i w:val="0"/>
          <w:sz w:val="22"/>
        </w:rPr>
        <w:t>SC-150 for postponements</w:t>
      </w:r>
    </w:p>
    <w:p>
      <w:pPr>
        <w:pStyle w:val="ListBullet"/>
        <w:spacing w:before="0" w:after="80" w:line="276" w:lineRule="auto"/>
      </w:pPr>
      <w:r>
        <w:rPr>
          <w:rFonts w:ascii="Aptos" w:hAnsi="Aptos"/>
          <w:b w:val="0"/>
          <w:i w:val="0"/>
          <w:sz w:val="22"/>
        </w:rPr>
        <w:t>MC-030 if a longer sworn explanation is needed as an attachment</w:t>
      </w:r>
    </w:p>
    <w:tbl>
      <w:tblPr>
        <w:tblW w:type="auto" w:w="0"/>
        <w:jc w:val="center"/>
        <w:tblLayout w:type="autofit"/>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vAlign w:val="center"/>
          </w:tcPr>
          <w:p>
            <w:pPr>
              <w:spacing w:before="0" w:after="40" w:line="276" w:lineRule="auto"/>
            </w:pPr>
            <w:r>
              <w:rPr>
                <w:rFonts w:ascii="Aptos" w:hAnsi="Aptos"/>
                <w:b/>
                <w:i w:val="0"/>
                <w:color w:val="1F4E79"/>
                <w:sz w:val="22"/>
              </w:rPr>
              <w:t xml:space="preserve">Source approach: </w:t>
            </w:r>
            <w:r>
              <w:rPr>
                <w:rFonts w:ascii="Aptos" w:hAnsi="Aptos"/>
                <w:b w:val="0"/>
                <w:i w:val="0"/>
                <w:sz w:val="22"/>
              </w:rPr>
              <w:t>This guide was drafted from official California Courts Self-Help form pages and related small-claims process pages, then rewritten into product-facing language for users who may not know court forms.</w:t>
            </w:r>
          </w:p>
        </w:tc>
      </w:tr>
    </w:tbl>
    <w:p/>
    <w:p>
      <w:pPr>
        <w:pStyle w:val="Heading1"/>
        <w:spacing w:before="0" w:after="80" w:line="276" w:lineRule="auto"/>
      </w:pPr>
      <w:r>
        <w:rPr>
          <w:rFonts w:ascii="Aptos" w:hAnsi="Aptos"/>
          <w:b w:val="0"/>
          <w:i w:val="0"/>
          <w:sz w:val="22"/>
        </w:rPr>
        <w:t>Suggested tile-page summary</w:t>
      </w:r>
    </w:p>
    <w:p>
      <w:pPr>
        <w:pStyle w:val="BodyCustom"/>
        <w:spacing w:before="0" w:after="160" w:line="276" w:lineRule="auto"/>
      </w:pPr>
      <w:r>
        <w:rPr>
          <w:rFonts w:ascii="Aptos" w:hAnsi="Aptos"/>
          <w:b w:val="0"/>
          <w:i w:val="0"/>
          <w:sz w:val="22"/>
        </w:rPr>
        <w:t>SC-105 is best presented as a decision page, not just a static description. The page should help a user quickly decide whether Request for Court Order and Answer is the right form, what information they need before they begin, and what usually happens after filing or serving it. Users should leave the page with a clear yes-or-no answer and a realistic next step.</w:t>
      </w:r>
    </w:p>
    <w:p>
      <w:pPr>
        <w:pStyle w:val="Heading2"/>
        <w:spacing w:before="0" w:after="40" w:line="276" w:lineRule="auto"/>
      </w:pPr>
      <w:r>
        <w:rPr>
          <w:rFonts w:ascii="Aptos" w:hAnsi="Aptos"/>
          <w:b w:val="0"/>
          <w:i w:val="0"/>
          <w:sz w:val="22"/>
        </w:rPr>
        <w:t>Official-source note</w:t>
      </w:r>
    </w:p>
    <w:p>
      <w:pPr>
        <w:pStyle w:val="BodyCustom"/>
        <w:spacing w:before="0" w:after="0" w:line="276" w:lineRule="auto"/>
      </w:pPr>
      <w:r>
        <w:rPr>
          <w:rFonts w:ascii="Aptos" w:hAnsi="Aptos"/>
          <w:b w:val="0"/>
          <w:i w:val="0"/>
          <w:color w:val="5A5A5A"/>
          <w:sz w:val="21"/>
        </w:rPr>
        <w:t>Effective date referenced: July 1, 2025. Always confirm the current Judicial Council version and any county-specific local forms before release.</w:t>
      </w:r>
    </w:p>
    <w:sectPr w:rsidR="00FC693F" w:rsidRPr="0006063C" w:rsidSect="00034616">
      <w:footerReference w:type="default" r:id="rId9"/>
      <w:pgSz w:w="12240" w:h="158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center"/>
    </w:pPr>
    <w:r>
      <w:rPr>
        <w:rFonts w:ascii="Aptos" w:hAnsi="Aptos"/>
        <w:b w:val="0"/>
        <w:i w:val="0"/>
        <w:color w:val="5A5A5A"/>
        <w:sz w:val="18"/>
      </w:rPr>
      <w:t>Small Claims UI Draft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ustom">
    <w:name w:val="BodyCustom"/>
    <w:basedOn w:val="Normal"/>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