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40" w:line="276" w:lineRule="auto"/>
      </w:pPr>
      <w:r>
        <w:rPr>
          <w:rFonts w:ascii="Aptos" w:hAnsi="Aptos"/>
          <w:b w:val="0"/>
          <w:i w:val="0"/>
          <w:color w:val="1F4E79"/>
          <w:sz w:val="22"/>
        </w:rPr>
        <w:t>SC-112A</w:t>
      </w:r>
    </w:p>
    <w:p>
      <w:pPr>
        <w:pStyle w:val="Title"/>
        <w:spacing w:before="0" w:after="40" w:line="276" w:lineRule="auto"/>
      </w:pPr>
      <w:r>
        <w:rPr>
          <w:rFonts w:ascii="Aptos" w:hAnsi="Aptos"/>
          <w:b w:val="0"/>
          <w:i w:val="0"/>
          <w:sz w:val="22"/>
        </w:rPr>
        <w:t>Proof of Service by Mail</w:t>
      </w:r>
    </w:p>
    <w:p>
      <w:pPr>
        <w:pStyle w:val="BodyCustom"/>
        <w:spacing w:before="0" w:after="200" w:line="276" w:lineRule="auto"/>
        <w:jc w:val="left"/>
      </w:pPr>
      <w:r>
        <w:rPr>
          <w:rFonts w:ascii="Aptos" w:hAnsi="Aptos"/>
          <w:b w:val="0"/>
          <w:i w:val="0"/>
          <w:color w:val="5A5A5A"/>
          <w:sz w:val="23"/>
        </w:rPr>
        <w:t>Use this to prove that later small claims papers were served by mail when mailing is allowed.</w:t>
      </w:r>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Best use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Choose this form when the correct service method for the document is first-class mail and you need to show the court that mailing happened.</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Good fit when</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Use this to prove that later small claims papers were served by mail when mailing is allowed.</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Form role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Primary form</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Effective version noted</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July 1, 2025</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Design intent: </w:t>
            </w:r>
            <w:r>
              <w:rPr>
                <w:rFonts w:ascii="Aptos" w:hAnsi="Aptos"/>
                <w:b w:val="0"/>
                <w:i w:val="0"/>
                <w:sz w:val="22"/>
              </w:rPr>
              <w:t>This page should feel procedural and simple: "You mailed the papers. Now document that mailing so the court can rely on it."</w:t>
            </w:r>
          </w:p>
        </w:tc>
      </w:tr>
    </w:tbl>
    <w:p/>
    <w:p>
      <w:pPr>
        <w:pStyle w:val="Heading1"/>
        <w:spacing w:before="0" w:after="80" w:line="276" w:lineRule="auto"/>
      </w:pPr>
      <w:r>
        <w:rPr>
          <w:rFonts w:ascii="Aptos" w:hAnsi="Aptos"/>
          <w:b w:val="0"/>
          <w:i w:val="0"/>
          <w:sz w:val="22"/>
        </w:rPr>
        <w:t>When a user should choose this form</w:t>
      </w:r>
    </w:p>
    <w:p>
      <w:pPr>
        <w:pStyle w:val="ListBullet"/>
        <w:spacing w:before="0" w:after="80" w:line="276" w:lineRule="auto"/>
      </w:pPr>
      <w:r>
        <w:rPr>
          <w:rFonts w:ascii="Aptos" w:hAnsi="Aptos"/>
          <w:b w:val="0"/>
          <w:i w:val="0"/>
          <w:sz w:val="22"/>
        </w:rPr>
        <w:t>The rules allow the particular small claims document to be served by mail.</w:t>
      </w:r>
    </w:p>
    <w:p>
      <w:pPr>
        <w:pStyle w:val="ListBullet"/>
        <w:spacing w:before="0" w:after="80" w:line="276" w:lineRule="auto"/>
      </w:pPr>
      <w:r>
        <w:rPr>
          <w:rFonts w:ascii="Aptos" w:hAnsi="Aptos"/>
          <w:b w:val="0"/>
          <w:i w:val="0"/>
          <w:sz w:val="22"/>
        </w:rPr>
        <w:t>Someone other than the party completed the mailing and can sign the proof.</w:t>
      </w:r>
    </w:p>
    <w:p>
      <w:pPr>
        <w:pStyle w:val="Heading1"/>
        <w:spacing w:before="0" w:after="80" w:line="276" w:lineRule="auto"/>
      </w:pPr>
      <w:r>
        <w:rPr>
          <w:rFonts w:ascii="Aptos" w:hAnsi="Aptos"/>
          <w:b w:val="0"/>
          <w:i w:val="0"/>
          <w:sz w:val="22"/>
        </w:rPr>
        <w:t>When a user should probably not choose this form</w:t>
      </w:r>
    </w:p>
    <w:p>
      <w:pPr>
        <w:pStyle w:val="ListBullet"/>
        <w:spacing w:before="0" w:after="80" w:line="276" w:lineRule="auto"/>
      </w:pPr>
      <w:r>
        <w:rPr>
          <w:rFonts w:ascii="Aptos" w:hAnsi="Aptos"/>
          <w:b w:val="0"/>
          <w:i w:val="0"/>
          <w:sz w:val="22"/>
        </w:rPr>
        <w:t>You are proving personal service of the original claim. SC-104 is usually the relevant form for that.</w:t>
      </w:r>
    </w:p>
    <w:p>
      <w:pPr>
        <w:pStyle w:val="ListBullet"/>
        <w:spacing w:before="0" w:after="80" w:line="276" w:lineRule="auto"/>
      </w:pPr>
      <w:r>
        <w:rPr>
          <w:rFonts w:ascii="Aptos" w:hAnsi="Aptos"/>
          <w:b w:val="0"/>
          <w:i w:val="0"/>
          <w:sz w:val="22"/>
        </w:rPr>
        <w:t>You are guessing that mail service is okay. The page should make users confirm that the specific document may be served by mail.</w:t>
      </w:r>
    </w:p>
    <w:p>
      <w:pPr>
        <w:pStyle w:val="Heading1"/>
        <w:spacing w:before="0" w:after="80" w:line="276" w:lineRule="auto"/>
      </w:pPr>
      <w:r>
        <w:rPr>
          <w:rFonts w:ascii="Aptos" w:hAnsi="Aptos"/>
          <w:b w:val="0"/>
          <w:i w:val="0"/>
          <w:sz w:val="22"/>
        </w:rPr>
        <w:t>What the user should have ready</w:t>
      </w:r>
    </w:p>
    <w:p>
      <w:pPr>
        <w:pStyle w:val="ListBullet"/>
        <w:spacing w:before="0" w:after="80" w:line="276" w:lineRule="auto"/>
      </w:pPr>
      <w:r>
        <w:rPr>
          <w:rFonts w:ascii="Aptos" w:hAnsi="Aptos"/>
          <w:b w:val="0"/>
          <w:i w:val="0"/>
          <w:sz w:val="22"/>
        </w:rPr>
        <w:t>The name and address of the person who mailed the papers.</w:t>
      </w:r>
    </w:p>
    <w:p>
      <w:pPr>
        <w:pStyle w:val="ListBullet"/>
        <w:spacing w:before="0" w:after="80" w:line="276" w:lineRule="auto"/>
      </w:pPr>
      <w:r>
        <w:rPr>
          <w:rFonts w:ascii="Aptos" w:hAnsi="Aptos"/>
          <w:b w:val="0"/>
          <w:i w:val="0"/>
          <w:sz w:val="22"/>
        </w:rPr>
        <w:t>The date and place of mailing.</w:t>
      </w:r>
    </w:p>
    <w:p>
      <w:pPr>
        <w:pStyle w:val="ListBullet"/>
        <w:spacing w:before="0" w:after="80" w:line="276" w:lineRule="auto"/>
      </w:pPr>
      <w:r>
        <w:rPr>
          <w:rFonts w:ascii="Aptos" w:hAnsi="Aptos"/>
          <w:b w:val="0"/>
          <w:i w:val="0"/>
          <w:sz w:val="22"/>
        </w:rPr>
        <w:t>The names and mailing addresses of everyone served.</w:t>
      </w:r>
    </w:p>
    <w:p>
      <w:pPr>
        <w:pStyle w:val="ListBullet"/>
        <w:spacing w:before="0" w:after="80" w:line="276" w:lineRule="auto"/>
      </w:pPr>
      <w:r>
        <w:rPr>
          <w:rFonts w:ascii="Aptos" w:hAnsi="Aptos"/>
          <w:b w:val="0"/>
          <w:i w:val="0"/>
          <w:sz w:val="22"/>
        </w:rPr>
        <w:t>A list of what was mailed.</w:t>
      </w:r>
    </w:p>
    <w:p>
      <w:pPr>
        <w:pStyle w:val="Heading1"/>
        <w:spacing w:before="0" w:after="80" w:line="276" w:lineRule="auto"/>
      </w:pPr>
      <w:r>
        <w:rPr>
          <w:rFonts w:ascii="Aptos" w:hAnsi="Aptos"/>
          <w:b w:val="0"/>
          <w:i w:val="0"/>
          <w:sz w:val="22"/>
        </w:rPr>
        <w:t>Recommended UI flow</w:t>
      </w:r>
    </w:p>
    <w:p>
      <w:pPr>
        <w:pStyle w:val="BodyCustom"/>
      </w:pPr>
    </w:p>
    <w:p>
      <w:pPr>
        <w:pStyle w:val="BodyCustom"/>
        <w:spacing w:before="0" w:after="80" w:line="276" w:lineRule="auto"/>
      </w:pPr>
      <w:r>
        <w:rPr>
          <w:rFonts w:ascii="Aptos" w:hAnsi="Aptos"/>
          <w:b/>
          <w:i w:val="0"/>
          <w:color w:val="1F4E79"/>
          <w:sz w:val="22"/>
        </w:rPr>
        <w:t xml:space="preserve">1. </w:t>
      </w:r>
      <w:r>
        <w:rPr>
          <w:rFonts w:ascii="Aptos" w:hAnsi="Aptos"/>
          <w:b w:val="0"/>
          <w:i w:val="0"/>
          <w:sz w:val="22"/>
        </w:rPr>
        <w:t>Have the person who mailed the documents complete and sign the form.</w:t>
      </w:r>
    </w:p>
    <w:p>
      <w:pPr>
        <w:pStyle w:val="BodyCustom"/>
        <w:spacing w:before="0" w:after="80" w:line="276" w:lineRule="auto"/>
      </w:pPr>
      <w:r>
        <w:rPr>
          <w:rFonts w:ascii="Aptos" w:hAnsi="Aptos"/>
          <w:b/>
          <w:i w:val="0"/>
          <w:color w:val="1F4E79"/>
          <w:sz w:val="22"/>
        </w:rPr>
        <w:t xml:space="preserve">2. </w:t>
      </w:r>
      <w:r>
        <w:rPr>
          <w:rFonts w:ascii="Aptos" w:hAnsi="Aptos"/>
          <w:b w:val="0"/>
          <w:i w:val="0"/>
          <w:sz w:val="22"/>
        </w:rPr>
        <w:t>Double-check the mailing addresses and document titles.</w:t>
      </w:r>
    </w:p>
    <w:p>
      <w:pPr>
        <w:pStyle w:val="BodyCustom"/>
        <w:spacing w:before="0" w:after="80" w:line="276" w:lineRule="auto"/>
      </w:pPr>
      <w:r>
        <w:rPr>
          <w:rFonts w:ascii="Aptos" w:hAnsi="Aptos"/>
          <w:b/>
          <w:i w:val="0"/>
          <w:color w:val="1F4E79"/>
          <w:sz w:val="22"/>
        </w:rPr>
        <w:t xml:space="preserve">3. </w:t>
      </w:r>
      <w:r>
        <w:rPr>
          <w:rFonts w:ascii="Aptos" w:hAnsi="Aptos"/>
          <w:b w:val="0"/>
          <w:i w:val="0"/>
          <w:sz w:val="22"/>
        </w:rPr>
        <w:t>File it if the court requires proof of mailed service for that request or response.</w:t>
      </w:r>
    </w:p>
    <w:p>
      <w:pPr>
        <w:pStyle w:val="Heading1"/>
        <w:spacing w:before="0" w:after="80" w:line="276" w:lineRule="auto"/>
      </w:pPr>
      <w:r>
        <w:rPr>
          <w:rFonts w:ascii="Aptos" w:hAnsi="Aptos"/>
          <w:b w:val="0"/>
          <w:i w:val="0"/>
          <w:sz w:val="22"/>
        </w:rPr>
        <w:t>Decision warnings and coaching prompts</w:t>
      </w:r>
    </w:p>
    <w:p>
      <w:pPr>
        <w:pStyle w:val="ListBullet"/>
        <w:spacing w:before="0" w:after="80" w:line="276" w:lineRule="auto"/>
      </w:pPr>
      <w:r>
        <w:rPr>
          <w:rFonts w:ascii="Aptos" w:hAnsi="Aptos"/>
          <w:b w:val="0"/>
          <w:i w:val="0"/>
          <w:sz w:val="22"/>
        </w:rPr>
        <w:t>Users often assume any paper can just be mailed. The UI should distinguish between starting documents and later documents.</w:t>
      </w:r>
    </w:p>
    <w:p>
      <w:pPr>
        <w:pStyle w:val="ListBullet"/>
        <w:spacing w:before="0" w:after="80" w:line="276" w:lineRule="auto"/>
      </w:pPr>
      <w:r>
        <w:rPr>
          <w:rFonts w:ascii="Aptos" w:hAnsi="Aptos"/>
          <w:b w:val="0"/>
          <w:i w:val="0"/>
          <w:sz w:val="22"/>
        </w:rPr>
        <w:t>Mail service still has timing rules. The user should be warned not to mail at the last minute.</w:t>
      </w:r>
    </w:p>
    <w:p>
      <w:pPr>
        <w:pStyle w:val="Heading1"/>
        <w:spacing w:before="0" w:after="80" w:line="276" w:lineRule="auto"/>
      </w:pPr>
      <w:r>
        <w:rPr>
          <w:rFonts w:ascii="Aptos" w:hAnsi="Aptos"/>
          <w:b w:val="0"/>
          <w:i w:val="0"/>
          <w:sz w:val="22"/>
        </w:rPr>
        <w:t>Related forms and next steps</w:t>
      </w:r>
    </w:p>
    <w:p>
      <w:pPr>
        <w:pStyle w:val="ListBullet"/>
        <w:spacing w:before="0" w:after="80" w:line="276" w:lineRule="auto"/>
      </w:pPr>
      <w:r>
        <w:rPr>
          <w:rFonts w:ascii="Aptos" w:hAnsi="Aptos"/>
          <w:b w:val="0"/>
          <w:i w:val="0"/>
          <w:sz w:val="22"/>
        </w:rPr>
        <w:t>SC-150 when asking to postpone trial and serving that request</w:t>
      </w:r>
    </w:p>
    <w:p>
      <w:pPr>
        <w:pStyle w:val="ListBullet"/>
        <w:spacing w:before="0" w:after="80" w:line="276" w:lineRule="auto"/>
      </w:pPr>
      <w:r>
        <w:rPr>
          <w:rFonts w:ascii="Aptos" w:hAnsi="Aptos"/>
          <w:b w:val="0"/>
          <w:i w:val="0"/>
          <w:sz w:val="22"/>
        </w:rPr>
        <w:t>SC-105 when serving a request or answer by mail if allowed</w:t>
      </w:r>
    </w:p>
    <w:p>
      <w:pPr>
        <w:pStyle w:val="ListBullet"/>
        <w:spacing w:before="0" w:after="80" w:line="276" w:lineRule="auto"/>
      </w:pPr>
      <w:r>
        <w:rPr>
          <w:rFonts w:ascii="Aptos" w:hAnsi="Aptos"/>
          <w:b w:val="0"/>
          <w:i w:val="0"/>
          <w:sz w:val="22"/>
        </w:rPr>
        <w:t>general proof-of-service guidance from the court</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Source approach: </w:t>
            </w:r>
            <w:r>
              <w:rPr>
                <w:rFonts w:ascii="Aptos" w:hAnsi="Aptos"/>
                <w:b w:val="0"/>
                <w:i w:val="0"/>
                <w:sz w:val="22"/>
              </w:rPr>
              <w:t>This guide was drafted from official California Courts Self-Help form pages and related small-claims process pages, then rewritten into product-facing language for users who may not know court forms.</w:t>
            </w:r>
          </w:p>
        </w:tc>
      </w:tr>
    </w:tbl>
    <w:p/>
    <w:p>
      <w:pPr>
        <w:pStyle w:val="Heading1"/>
        <w:spacing w:before="0" w:after="80" w:line="276" w:lineRule="auto"/>
      </w:pPr>
      <w:r>
        <w:rPr>
          <w:rFonts w:ascii="Aptos" w:hAnsi="Aptos"/>
          <w:b w:val="0"/>
          <w:i w:val="0"/>
          <w:sz w:val="22"/>
        </w:rPr>
        <w:t>Suggested tile-page summary</w:t>
      </w:r>
    </w:p>
    <w:p>
      <w:pPr>
        <w:pStyle w:val="BodyCustom"/>
        <w:spacing w:before="0" w:after="160" w:line="276" w:lineRule="auto"/>
      </w:pPr>
      <w:r>
        <w:rPr>
          <w:rFonts w:ascii="Aptos" w:hAnsi="Aptos"/>
          <w:b w:val="0"/>
          <w:i w:val="0"/>
          <w:sz w:val="22"/>
        </w:rPr>
        <w:t>SC-112A is best presented as a decision page, not just a static description. The page should help a user quickly decide whether Proof of Service by Mail is the right form, what information they need before they begin, and what usually happens after filing or serving it. Users should leave the page with a clear yes-or-no answer and a realistic next step.</w:t>
      </w:r>
    </w:p>
    <w:p>
      <w:pPr>
        <w:pStyle w:val="Heading2"/>
        <w:spacing w:before="0" w:after="40" w:line="276" w:lineRule="auto"/>
      </w:pPr>
      <w:r>
        <w:rPr>
          <w:rFonts w:ascii="Aptos" w:hAnsi="Aptos"/>
          <w:b w:val="0"/>
          <w:i w:val="0"/>
          <w:sz w:val="22"/>
        </w:rPr>
        <w:t>Official-source note</w:t>
      </w:r>
    </w:p>
    <w:p>
      <w:pPr>
        <w:pStyle w:val="BodyCustom"/>
        <w:spacing w:before="0" w:after="0" w:line="276" w:lineRule="auto"/>
      </w:pPr>
      <w:r>
        <w:rPr>
          <w:rFonts w:ascii="Aptos" w:hAnsi="Aptos"/>
          <w:b w:val="0"/>
          <w:i w:val="0"/>
          <w:color w:val="5A5A5A"/>
          <w:sz w:val="21"/>
        </w:rPr>
        <w:t>Effective date referenced: July 1, 2025. Always confirm the current Judicial Council version and any county-specific local forms before release.</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5A5A5A"/>
        <w:sz w:val="18"/>
      </w:rPr>
      <w:t>Small Claims UI Draft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