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before="0" w:after="40" w:line="276" w:lineRule="auto"/>
      </w:pPr>
      <w:r>
        <w:rPr>
          <w:rFonts w:ascii="Aptos" w:hAnsi="Aptos"/>
          <w:b w:val="0"/>
          <w:i w:val="0"/>
          <w:color w:val="1F4E79"/>
          <w:sz w:val="22"/>
        </w:rPr>
        <w:t>SC-120</w:t>
      </w:r>
    </w:p>
    <w:p>
      <w:pPr>
        <w:pStyle w:val="Title"/>
        <w:spacing w:before="0" w:after="40" w:line="276" w:lineRule="auto"/>
      </w:pPr>
      <w:r>
        <w:rPr>
          <w:rFonts w:ascii="Aptos" w:hAnsi="Aptos"/>
          <w:b w:val="0"/>
          <w:i w:val="0"/>
          <w:sz w:val="22"/>
        </w:rPr>
        <w:t>Defendant's Claim and ORDER to Go to Small Claims Court</w:t>
      </w:r>
    </w:p>
    <w:p>
      <w:pPr>
        <w:pStyle w:val="BodyCustom"/>
        <w:spacing w:before="0" w:after="200" w:line="276" w:lineRule="auto"/>
        <w:jc w:val="left"/>
      </w:pPr>
      <w:r>
        <w:rPr>
          <w:rFonts w:ascii="Aptos" w:hAnsi="Aptos"/>
          <w:b w:val="0"/>
          <w:i w:val="0"/>
          <w:color w:val="5A5A5A"/>
          <w:sz w:val="23"/>
        </w:rPr>
        <w:t>Use this when you have been sued in small claims and you want to sue the plaintiff back in the same case.</w:t>
      </w:r>
    </w:p>
    <w:tbl>
      <w:tblPr>
        <w:tblW w:type="auto" w:w="0"/>
        <w:jc w:val="center"/>
        <w:tblLayout w:type="fixed"/>
        <w:tblLook w:firstColumn="1" w:firstRow="1" w:lastColumn="0" w:lastRow="0" w:noHBand="0" w:noVBand="1" w:val="04A0"/>
      </w:tblPr>
      <w:tblGrid>
        <w:gridCol w:w="4968"/>
        <w:gridCol w:w="4968"/>
      </w:tblGrid>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Best use</w:t>
            </w:r>
          </w:p>
        </w:tc>
        <w:tc>
          <w:tcPr>
            <w:tcW w:type="dxa" w:w="6912"/>
            <w:tcMar>
              <w:top w:w="80" w:type="dxa"/>
              <w:start w:w="100" w:type="dxa"/>
              <w:bottom w:w="80" w:type="dxa"/>
              <w:end w:w="100" w:type="dxa"/>
            </w:tcMar>
            <w:vAlign w:val="center"/>
            <w:shd w:fill="F9FBFD"/>
          </w:tcPr>
          <w:p>
            <w:pPr>
              <w:spacing w:before="0" w:after="40" w:line="276" w:lineRule="auto"/>
            </w:pPr>
            <w:r>
              <w:rPr>
                <w:rFonts w:ascii="Aptos" w:hAnsi="Aptos"/>
                <w:b w:val="0"/>
                <w:i w:val="0"/>
                <w:sz w:val="21"/>
              </w:rPr>
              <w:t>Choose this form only if you are already the defendant in a small claims case and have your own claim against the plaintiff.</w:t>
            </w:r>
          </w:p>
        </w:tc>
      </w:tr>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Good fit when</w:t>
            </w:r>
          </w:p>
        </w:tc>
        <w:tc>
          <w:tcPr>
            <w:tcW w:type="dxa" w:w="6912"/>
            <w:tcMar>
              <w:top w:w="80" w:type="dxa"/>
              <w:start w:w="100" w:type="dxa"/>
              <w:bottom w:w="80" w:type="dxa"/>
              <w:end w:w="100" w:type="dxa"/>
            </w:tcMar>
            <w:vAlign w:val="center"/>
          </w:tcPr>
          <w:p>
            <w:pPr>
              <w:spacing w:before="0" w:after="40" w:line="276" w:lineRule="auto"/>
            </w:pPr>
            <w:r>
              <w:rPr>
                <w:rFonts w:ascii="Aptos" w:hAnsi="Aptos"/>
                <w:b w:val="0"/>
                <w:i w:val="0"/>
                <w:sz w:val="21"/>
              </w:rPr>
              <w:t>Use this when you have been sued in small claims and you want to sue the plaintiff back in the same case.</w:t>
            </w:r>
          </w:p>
        </w:tc>
      </w:tr>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Form role</w:t>
            </w:r>
          </w:p>
        </w:tc>
        <w:tc>
          <w:tcPr>
            <w:tcW w:type="dxa" w:w="6912"/>
            <w:tcMar>
              <w:top w:w="80" w:type="dxa"/>
              <w:start w:w="100" w:type="dxa"/>
              <w:bottom w:w="80" w:type="dxa"/>
              <w:end w:w="100" w:type="dxa"/>
            </w:tcMar>
            <w:vAlign w:val="center"/>
            <w:shd w:fill="F9FBFD"/>
          </w:tcPr>
          <w:p>
            <w:pPr>
              <w:spacing w:before="0" w:after="40" w:line="276" w:lineRule="auto"/>
            </w:pPr>
            <w:r>
              <w:rPr>
                <w:rFonts w:ascii="Aptos" w:hAnsi="Aptos"/>
                <w:b w:val="0"/>
                <w:i w:val="0"/>
                <w:sz w:val="21"/>
              </w:rPr>
              <w:t>Primary form</w:t>
            </w:r>
          </w:p>
        </w:tc>
      </w:tr>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Effective version noted</w:t>
            </w:r>
          </w:p>
        </w:tc>
        <w:tc>
          <w:tcPr>
            <w:tcW w:type="dxa" w:w="6912"/>
            <w:tcMar>
              <w:top w:w="80" w:type="dxa"/>
              <w:start w:w="100" w:type="dxa"/>
              <w:bottom w:w="80" w:type="dxa"/>
              <w:end w:w="100" w:type="dxa"/>
            </w:tcMar>
            <w:vAlign w:val="center"/>
          </w:tcPr>
          <w:p>
            <w:pPr>
              <w:spacing w:before="0" w:after="40" w:line="276" w:lineRule="auto"/>
            </w:pPr>
            <w:r>
              <w:rPr>
                <w:rFonts w:ascii="Aptos" w:hAnsi="Aptos"/>
                <w:b w:val="0"/>
                <w:i w:val="0"/>
                <w:sz w:val="21"/>
              </w:rPr>
              <w:t>July 1, 2025</w:t>
            </w:r>
          </w:p>
        </w:tc>
      </w:tr>
    </w:tbl>
    <w:p/>
    <w:tbl>
      <w:tblPr>
        <w:tblW w:type="auto" w:w="0"/>
        <w:jc w:val="center"/>
        <w:tblLayout w:type="autofit"/>
        <w:tblLook w:firstColumn="1" w:firstRow="1" w:lastColumn="0" w:lastRow="0" w:noHBand="0" w:noVBand="1" w:val="04A0"/>
      </w:tblPr>
      <w:tblGrid>
        <w:gridCol w:w="9936"/>
      </w:tblGrid>
      <w:tr>
        <w:tc>
          <w:tcPr>
            <w:tcW w:type="dxa" w:w="9936"/>
            <w:shd w:fill="EAF2F8"/>
            <w:tcMar>
              <w:top w:w="120" w:type="dxa"/>
              <w:start w:w="140" w:type="dxa"/>
              <w:bottom w:w="120" w:type="dxa"/>
              <w:end w:w="140" w:type="dxa"/>
            </w:tcMar>
            <w:vAlign w:val="center"/>
          </w:tcPr>
          <w:p>
            <w:pPr>
              <w:spacing w:before="0" w:after="40" w:line="276" w:lineRule="auto"/>
            </w:pPr>
            <w:r>
              <w:rPr>
                <w:rFonts w:ascii="Aptos" w:hAnsi="Aptos"/>
                <w:b/>
                <w:i w:val="0"/>
                <w:color w:val="1F4E79"/>
                <w:sz w:val="22"/>
              </w:rPr>
              <w:t xml:space="preserve">Design intent: </w:t>
            </w:r>
            <w:r>
              <w:rPr>
                <w:rFonts w:ascii="Aptos" w:hAnsi="Aptos"/>
                <w:b w:val="0"/>
                <w:i w:val="0"/>
                <w:sz w:val="22"/>
              </w:rPr>
              <w:t>Frame this page as: "Do you merely want to defend the case, or do you also want the judge to order the plaintiff to pay you?" If the second answer is yes, this is the likely form.</w:t>
            </w:r>
          </w:p>
        </w:tc>
      </w:tr>
    </w:tbl>
    <w:p/>
    <w:p>
      <w:pPr>
        <w:pStyle w:val="Heading1"/>
        <w:spacing w:before="0" w:after="80" w:line="276" w:lineRule="auto"/>
      </w:pPr>
      <w:r>
        <w:rPr>
          <w:rFonts w:ascii="Aptos" w:hAnsi="Aptos"/>
          <w:b w:val="0"/>
          <w:i w:val="0"/>
          <w:sz w:val="22"/>
        </w:rPr>
        <w:t>When a user should choose this form</w:t>
      </w:r>
    </w:p>
    <w:p>
      <w:pPr>
        <w:pStyle w:val="ListBullet"/>
        <w:spacing w:before="0" w:after="80" w:line="276" w:lineRule="auto"/>
      </w:pPr>
      <w:r>
        <w:rPr>
          <w:rFonts w:ascii="Aptos" w:hAnsi="Aptos"/>
          <w:b w:val="0"/>
          <w:i w:val="0"/>
          <w:sz w:val="22"/>
        </w:rPr>
        <w:t>You were served with SC-100 and believe the plaintiff owes you money.</w:t>
      </w:r>
    </w:p>
    <w:p>
      <w:pPr>
        <w:pStyle w:val="ListBullet"/>
        <w:spacing w:before="0" w:after="80" w:line="276" w:lineRule="auto"/>
      </w:pPr>
      <w:r>
        <w:rPr>
          <w:rFonts w:ascii="Aptos" w:hAnsi="Aptos"/>
          <w:b w:val="0"/>
          <w:i w:val="0"/>
          <w:sz w:val="22"/>
        </w:rPr>
        <w:t>Your claim fits small claims limits and can be raised as a defendant's claim in the same matter.</w:t>
      </w:r>
    </w:p>
    <w:p>
      <w:pPr>
        <w:pStyle w:val="Heading1"/>
        <w:spacing w:before="0" w:after="80" w:line="276" w:lineRule="auto"/>
      </w:pPr>
      <w:r>
        <w:rPr>
          <w:rFonts w:ascii="Aptos" w:hAnsi="Aptos"/>
          <w:b w:val="0"/>
          <w:i w:val="0"/>
          <w:sz w:val="22"/>
        </w:rPr>
        <w:t>When a user should probably not choose this form</w:t>
      </w:r>
    </w:p>
    <w:p>
      <w:pPr>
        <w:pStyle w:val="ListBullet"/>
        <w:spacing w:before="0" w:after="80" w:line="276" w:lineRule="auto"/>
      </w:pPr>
      <w:r>
        <w:rPr>
          <w:rFonts w:ascii="Aptos" w:hAnsi="Aptos"/>
          <w:b w:val="0"/>
          <w:i w:val="0"/>
          <w:sz w:val="22"/>
        </w:rPr>
        <w:t>You are starting a brand-new case against someone who has not sued you. Use SC-100 instead.</w:t>
      </w:r>
    </w:p>
    <w:p>
      <w:pPr>
        <w:pStyle w:val="ListBullet"/>
        <w:spacing w:before="0" w:after="80" w:line="276" w:lineRule="auto"/>
      </w:pPr>
      <w:r>
        <w:rPr>
          <w:rFonts w:ascii="Aptos" w:hAnsi="Aptos"/>
          <w:b w:val="0"/>
          <w:i w:val="0"/>
          <w:sz w:val="22"/>
        </w:rPr>
        <w:t>You just want to defend against the plaintiff's allegations without asking for money yourself. In that situation, you may only need to appear at trial and present your side.</w:t>
      </w:r>
    </w:p>
    <w:p>
      <w:pPr>
        <w:pStyle w:val="Heading1"/>
        <w:spacing w:before="0" w:after="80" w:line="276" w:lineRule="auto"/>
      </w:pPr>
      <w:r>
        <w:rPr>
          <w:rFonts w:ascii="Aptos" w:hAnsi="Aptos"/>
          <w:b w:val="0"/>
          <w:i w:val="0"/>
          <w:sz w:val="22"/>
        </w:rPr>
        <w:t>What the user should have ready</w:t>
      </w:r>
    </w:p>
    <w:p>
      <w:pPr>
        <w:pStyle w:val="ListBullet"/>
        <w:spacing w:before="0" w:after="80" w:line="276" w:lineRule="auto"/>
      </w:pPr>
      <w:r>
        <w:rPr>
          <w:rFonts w:ascii="Aptos" w:hAnsi="Aptos"/>
          <w:b w:val="0"/>
          <w:i w:val="0"/>
          <w:sz w:val="22"/>
        </w:rPr>
        <w:t>The existing case information and court date.</w:t>
      </w:r>
    </w:p>
    <w:p>
      <w:pPr>
        <w:pStyle w:val="ListBullet"/>
        <w:spacing w:before="0" w:after="80" w:line="276" w:lineRule="auto"/>
      </w:pPr>
      <w:r>
        <w:rPr>
          <w:rFonts w:ascii="Aptos" w:hAnsi="Aptos"/>
          <w:b w:val="0"/>
          <w:i w:val="0"/>
          <w:sz w:val="22"/>
        </w:rPr>
        <w:t>The amount you claim the plaintiff owes you.</w:t>
      </w:r>
    </w:p>
    <w:p>
      <w:pPr>
        <w:pStyle w:val="ListBullet"/>
        <w:spacing w:before="0" w:after="80" w:line="276" w:lineRule="auto"/>
      </w:pPr>
      <w:r>
        <w:rPr>
          <w:rFonts w:ascii="Aptos" w:hAnsi="Aptos"/>
          <w:b w:val="0"/>
          <w:i w:val="0"/>
          <w:sz w:val="22"/>
        </w:rPr>
        <w:t>A short explanation of why they owe it.</w:t>
      </w:r>
    </w:p>
    <w:p>
      <w:pPr>
        <w:pStyle w:val="ListBullet"/>
        <w:spacing w:before="0" w:after="80" w:line="276" w:lineRule="auto"/>
      </w:pPr>
      <w:r>
        <w:rPr>
          <w:rFonts w:ascii="Aptos" w:hAnsi="Aptos"/>
          <w:b w:val="0"/>
          <w:i w:val="0"/>
          <w:sz w:val="22"/>
        </w:rPr>
        <w:t>Correct names and service information for the plaintiff and any additional parties.</w:t>
      </w:r>
    </w:p>
    <w:p>
      <w:pPr>
        <w:pStyle w:val="Heading1"/>
        <w:spacing w:before="0" w:after="80" w:line="276" w:lineRule="auto"/>
      </w:pPr>
      <w:r>
        <w:rPr>
          <w:rFonts w:ascii="Aptos" w:hAnsi="Aptos"/>
          <w:b w:val="0"/>
          <w:i w:val="0"/>
          <w:sz w:val="22"/>
        </w:rPr>
        <w:t>Recommended UI flow</w:t>
      </w:r>
    </w:p>
    <w:p>
      <w:pPr>
        <w:pStyle w:val="BodyCustom"/>
      </w:pPr>
    </w:p>
    <w:p>
      <w:pPr>
        <w:pStyle w:val="BodyCustom"/>
        <w:spacing w:before="0" w:after="80" w:line="276" w:lineRule="auto"/>
      </w:pPr>
      <w:r>
        <w:rPr>
          <w:rFonts w:ascii="Aptos" w:hAnsi="Aptos"/>
          <w:b/>
          <w:i w:val="0"/>
          <w:color w:val="1F4E79"/>
          <w:sz w:val="22"/>
        </w:rPr>
        <w:t xml:space="preserve">1. </w:t>
      </w:r>
      <w:r>
        <w:rPr>
          <w:rFonts w:ascii="Aptos" w:hAnsi="Aptos"/>
          <w:b w:val="0"/>
          <w:i w:val="0"/>
          <w:sz w:val="22"/>
        </w:rPr>
        <w:t>Complete the form clearly and keep your claim focused.</w:t>
      </w:r>
    </w:p>
    <w:p>
      <w:pPr>
        <w:pStyle w:val="BodyCustom"/>
        <w:spacing w:before="0" w:after="80" w:line="276" w:lineRule="auto"/>
      </w:pPr>
      <w:r>
        <w:rPr>
          <w:rFonts w:ascii="Aptos" w:hAnsi="Aptos"/>
          <w:b/>
          <w:i w:val="0"/>
          <w:color w:val="1F4E79"/>
          <w:sz w:val="22"/>
        </w:rPr>
        <w:t xml:space="preserve">2. </w:t>
      </w:r>
      <w:r>
        <w:rPr>
          <w:rFonts w:ascii="Aptos" w:hAnsi="Aptos"/>
          <w:b w:val="0"/>
          <w:i w:val="0"/>
          <w:sz w:val="22"/>
        </w:rPr>
        <w:t>File it quickly because service deadlines are shorter than for an original plaintiff claim.</w:t>
      </w:r>
    </w:p>
    <w:p>
      <w:pPr>
        <w:pStyle w:val="BodyCustom"/>
        <w:spacing w:before="0" w:after="80" w:line="276" w:lineRule="auto"/>
      </w:pPr>
      <w:r>
        <w:rPr>
          <w:rFonts w:ascii="Aptos" w:hAnsi="Aptos"/>
          <w:b/>
          <w:i w:val="0"/>
          <w:color w:val="1F4E79"/>
          <w:sz w:val="22"/>
        </w:rPr>
        <w:t xml:space="preserve">3. </w:t>
      </w:r>
      <w:r>
        <w:rPr>
          <w:rFonts w:ascii="Aptos" w:hAnsi="Aptos"/>
          <w:b w:val="0"/>
          <w:i w:val="0"/>
          <w:sz w:val="22"/>
        </w:rPr>
        <w:t>Have it served correctly on the plaintiff and file proof of service.</w:t>
      </w:r>
    </w:p>
    <w:p>
      <w:pPr>
        <w:pStyle w:val="Heading1"/>
        <w:spacing w:before="0" w:after="80" w:line="276" w:lineRule="auto"/>
      </w:pPr>
      <w:r>
        <w:rPr>
          <w:rFonts w:ascii="Aptos" w:hAnsi="Aptos"/>
          <w:b w:val="0"/>
          <w:i w:val="0"/>
          <w:sz w:val="22"/>
        </w:rPr>
        <w:t>Decision warnings and coaching prompts</w:t>
      </w:r>
    </w:p>
    <w:p>
      <w:pPr>
        <w:pStyle w:val="ListBullet"/>
        <w:spacing w:before="0" w:after="80" w:line="276" w:lineRule="auto"/>
      </w:pPr>
      <w:r>
        <w:rPr>
          <w:rFonts w:ascii="Aptos" w:hAnsi="Aptos"/>
          <w:b w:val="0"/>
          <w:i w:val="0"/>
          <w:sz w:val="22"/>
        </w:rPr>
        <w:t>Timing is tighter here. If you were served more than 10 days before trial, the defendant's claim generally must be served at least 5 days before trial; if you were served 10 days or less before trial, service can be as late as 1 day before trial.</w:t>
      </w:r>
    </w:p>
    <w:p>
      <w:pPr>
        <w:pStyle w:val="ListBullet"/>
        <w:spacing w:before="0" w:after="80" w:line="276" w:lineRule="auto"/>
      </w:pPr>
      <w:r>
        <w:rPr>
          <w:rFonts w:ascii="Aptos" w:hAnsi="Aptos"/>
          <w:b w:val="0"/>
          <w:i w:val="0"/>
          <w:sz w:val="22"/>
        </w:rPr>
        <w:t>Users should understand that this form is optional. They do not need it just to deny the plaintiff's story.</w:t>
      </w:r>
    </w:p>
    <w:p>
      <w:pPr>
        <w:pStyle w:val="Heading1"/>
        <w:spacing w:before="0" w:after="80" w:line="276" w:lineRule="auto"/>
      </w:pPr>
      <w:r>
        <w:rPr>
          <w:rFonts w:ascii="Aptos" w:hAnsi="Aptos"/>
          <w:b w:val="0"/>
          <w:i w:val="0"/>
          <w:sz w:val="22"/>
        </w:rPr>
        <w:t>Related forms and next steps</w:t>
      </w:r>
    </w:p>
    <w:p>
      <w:pPr>
        <w:pStyle w:val="ListBullet"/>
        <w:spacing w:before="0" w:after="80" w:line="276" w:lineRule="auto"/>
      </w:pPr>
      <w:r>
        <w:rPr>
          <w:rFonts w:ascii="Aptos" w:hAnsi="Aptos"/>
          <w:b w:val="0"/>
          <w:i w:val="0"/>
          <w:sz w:val="22"/>
        </w:rPr>
        <w:t>SC-100A if extra parties must be listed</w:t>
      </w:r>
    </w:p>
    <w:p>
      <w:pPr>
        <w:pStyle w:val="ListBullet"/>
        <w:spacing w:before="0" w:after="80" w:line="276" w:lineRule="auto"/>
      </w:pPr>
      <w:r>
        <w:rPr>
          <w:rFonts w:ascii="Aptos" w:hAnsi="Aptos"/>
          <w:b w:val="0"/>
          <w:i w:val="0"/>
          <w:sz w:val="22"/>
        </w:rPr>
        <w:t>SC-103 for fictitious business names</w:t>
      </w:r>
    </w:p>
    <w:p>
      <w:pPr>
        <w:pStyle w:val="ListBullet"/>
        <w:spacing w:before="0" w:after="80" w:line="276" w:lineRule="auto"/>
      </w:pPr>
      <w:r>
        <w:rPr>
          <w:rFonts w:ascii="Aptos" w:hAnsi="Aptos"/>
          <w:b w:val="0"/>
          <w:i w:val="0"/>
          <w:sz w:val="22"/>
        </w:rPr>
        <w:t>SC-104 to prove service of the defendant claim</w:t>
      </w:r>
    </w:p>
    <w:tbl>
      <w:tblPr>
        <w:tblW w:type="auto" w:w="0"/>
        <w:jc w:val="center"/>
        <w:tblLayout w:type="autofit"/>
        <w:tblLook w:firstColumn="1" w:firstRow="1" w:lastColumn="0" w:lastRow="0" w:noHBand="0" w:noVBand="1" w:val="04A0"/>
      </w:tblPr>
      <w:tblGrid>
        <w:gridCol w:w="9936"/>
      </w:tblGrid>
      <w:tr>
        <w:tc>
          <w:tcPr>
            <w:tcW w:type="dxa" w:w="9936"/>
            <w:shd w:fill="EAF2F8"/>
            <w:tcMar>
              <w:top w:w="120" w:type="dxa"/>
              <w:start w:w="140" w:type="dxa"/>
              <w:bottom w:w="120" w:type="dxa"/>
              <w:end w:w="140" w:type="dxa"/>
            </w:tcMar>
            <w:vAlign w:val="center"/>
          </w:tcPr>
          <w:p>
            <w:pPr>
              <w:spacing w:before="0" w:after="40" w:line="276" w:lineRule="auto"/>
            </w:pPr>
            <w:r>
              <w:rPr>
                <w:rFonts w:ascii="Aptos" w:hAnsi="Aptos"/>
                <w:b/>
                <w:i w:val="0"/>
                <w:color w:val="1F4E79"/>
                <w:sz w:val="22"/>
              </w:rPr>
              <w:t xml:space="preserve">Source approach: </w:t>
            </w:r>
            <w:r>
              <w:rPr>
                <w:rFonts w:ascii="Aptos" w:hAnsi="Aptos"/>
                <w:b w:val="0"/>
                <w:i w:val="0"/>
                <w:sz w:val="22"/>
              </w:rPr>
              <w:t>This guide was drafted from official California Courts Self-Help form pages and related small-claims process pages, then rewritten into product-facing language for users who may not know court forms.</w:t>
            </w:r>
          </w:p>
        </w:tc>
      </w:tr>
    </w:tbl>
    <w:p/>
    <w:p>
      <w:pPr>
        <w:pStyle w:val="Heading1"/>
        <w:spacing w:before="0" w:after="80" w:line="276" w:lineRule="auto"/>
      </w:pPr>
      <w:r>
        <w:rPr>
          <w:rFonts w:ascii="Aptos" w:hAnsi="Aptos"/>
          <w:b w:val="0"/>
          <w:i w:val="0"/>
          <w:sz w:val="22"/>
        </w:rPr>
        <w:t>Suggested tile-page summary</w:t>
      </w:r>
    </w:p>
    <w:p>
      <w:pPr>
        <w:pStyle w:val="BodyCustom"/>
        <w:spacing w:before="0" w:after="160" w:line="276" w:lineRule="auto"/>
      </w:pPr>
      <w:r>
        <w:rPr>
          <w:rFonts w:ascii="Aptos" w:hAnsi="Aptos"/>
          <w:b w:val="0"/>
          <w:i w:val="0"/>
          <w:sz w:val="22"/>
        </w:rPr>
        <w:t>SC-120 is best presented as a decision page, not just a static description. The page should help a user quickly decide whether Defendant's Claim and ORDER to Go to Small Claims Court is the right form, what information they need before they begin, and what usually happens after filing or serving it. Users should leave the page with a clear yes-or-no answer and a realistic next step.</w:t>
      </w:r>
    </w:p>
    <w:p>
      <w:pPr>
        <w:pStyle w:val="Heading2"/>
        <w:spacing w:before="0" w:after="40" w:line="276" w:lineRule="auto"/>
      </w:pPr>
      <w:r>
        <w:rPr>
          <w:rFonts w:ascii="Aptos" w:hAnsi="Aptos"/>
          <w:b w:val="0"/>
          <w:i w:val="0"/>
          <w:sz w:val="22"/>
        </w:rPr>
        <w:t>Official-source note</w:t>
      </w:r>
    </w:p>
    <w:p>
      <w:pPr>
        <w:pStyle w:val="BodyCustom"/>
        <w:spacing w:before="0" w:after="0" w:line="276" w:lineRule="auto"/>
      </w:pPr>
      <w:r>
        <w:rPr>
          <w:rFonts w:ascii="Aptos" w:hAnsi="Aptos"/>
          <w:b w:val="0"/>
          <w:i w:val="0"/>
          <w:color w:val="5A5A5A"/>
          <w:sz w:val="21"/>
        </w:rPr>
        <w:t>Effective date referenced: July 1, 2025. Always confirm the current Judicial Council version and any county-specific local forms before release.</w:t>
      </w:r>
    </w:p>
    <w:sectPr w:rsidR="00FC693F" w:rsidRPr="0006063C" w:rsidSect="00034616">
      <w:footerReference w:type="default" r:id="rId9"/>
      <w:pgSz w:w="12240" w:h="15840"/>
      <w:pgMar w:top="936"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76" w:lineRule="auto"/>
      <w:jc w:val="center"/>
    </w:pPr>
    <w:r>
      <w:rPr>
        <w:rFonts w:ascii="Aptos" w:hAnsi="Aptos"/>
        <w:b w:val="0"/>
        <w:i w:val="0"/>
        <w:color w:val="5A5A5A"/>
        <w:sz w:val="18"/>
      </w:rPr>
      <w:t>Small Claims UI Draft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ustom">
    <w:name w:val="BodyCustom"/>
    <w:basedOn w:val="Normal"/>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