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0" w:after="40" w:line="276" w:lineRule="auto"/>
      </w:pPr>
      <w:r>
        <w:rPr>
          <w:rFonts w:ascii="Aptos" w:hAnsi="Aptos"/>
          <w:b w:val="0"/>
          <w:i w:val="0"/>
          <w:color w:val="1F4E79"/>
          <w:sz w:val="22"/>
        </w:rPr>
        <w:t>SC-140</w:t>
      </w:r>
    </w:p>
    <w:p>
      <w:pPr>
        <w:pStyle w:val="Title"/>
        <w:spacing w:before="0" w:after="40" w:line="276" w:lineRule="auto"/>
      </w:pPr>
      <w:r>
        <w:rPr>
          <w:rFonts w:ascii="Aptos" w:hAnsi="Aptos"/>
          <w:b w:val="0"/>
          <w:i w:val="0"/>
          <w:sz w:val="22"/>
        </w:rPr>
        <w:t>Notice of Appeal</w:t>
      </w:r>
    </w:p>
    <w:p>
      <w:pPr>
        <w:pStyle w:val="BodyCustom"/>
        <w:spacing w:before="0" w:after="200" w:line="276" w:lineRule="auto"/>
        <w:jc w:val="left"/>
      </w:pPr>
      <w:r>
        <w:rPr>
          <w:rFonts w:ascii="Aptos" w:hAnsi="Aptos"/>
          <w:b w:val="0"/>
          <w:i w:val="0"/>
          <w:color w:val="5A5A5A"/>
          <w:sz w:val="23"/>
        </w:rPr>
        <w:t>Use this to appeal a small claims judgment when you are legally allowed to appeal.</w:t>
      </w:r>
    </w:p>
    <w:tbl>
      <w:tblPr>
        <w:tblW w:type="auto" w:w="0"/>
        <w:jc w:val="center"/>
        <w:tblLayout w:type="fixed"/>
        <w:tblLook w:firstColumn="1" w:firstRow="1" w:lastColumn="0" w:lastRow="0" w:noHBand="0" w:noVBand="1" w:val="04A0"/>
      </w:tblPr>
      <w:tblGrid>
        <w:gridCol w:w="4968"/>
        <w:gridCol w:w="4968"/>
      </w:tblGrid>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Best use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Choose this form after judgment if you were ordered to pay and want a new hearing in the superior court appeal process.</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Good fit when</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Use this to appeal a small claims judgment when you are legally allowed to appeal.</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Form role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Primary form</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Effective version noted</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January 1, 2007</w:t>
            </w:r>
          </w:p>
        </w:tc>
      </w:tr>
    </w:tbl>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Design intent: </w:t>
            </w:r>
            <w:r>
              <w:rPr>
                <w:rFonts w:ascii="Aptos" w:hAnsi="Aptos"/>
                <w:b w:val="0"/>
                <w:i w:val="0"/>
                <w:sz w:val="22"/>
              </w:rPr>
              <w:t>This page should not feel like a generic complaint button. It should slow the user down and ask: "Can you appeal, and are you still on time?"</w:t>
            </w:r>
          </w:p>
        </w:tc>
      </w:tr>
    </w:tbl>
    <w:p/>
    <w:p>
      <w:pPr>
        <w:pStyle w:val="Heading1"/>
        <w:spacing w:before="0" w:after="80" w:line="276" w:lineRule="auto"/>
      </w:pPr>
      <w:r>
        <w:rPr>
          <w:rFonts w:ascii="Aptos" w:hAnsi="Aptos"/>
          <w:b w:val="0"/>
          <w:i w:val="0"/>
          <w:sz w:val="22"/>
        </w:rPr>
        <w:t>When a user should choose this form</w:t>
      </w:r>
    </w:p>
    <w:p>
      <w:pPr>
        <w:pStyle w:val="ListBullet"/>
        <w:spacing w:before="0" w:after="80" w:line="276" w:lineRule="auto"/>
      </w:pPr>
      <w:r>
        <w:rPr>
          <w:rFonts w:ascii="Aptos" w:hAnsi="Aptos"/>
          <w:b w:val="0"/>
          <w:i w:val="0"/>
          <w:sz w:val="22"/>
        </w:rPr>
        <w:t>The court entered a small claims judgment against you and you disagree.</w:t>
      </w:r>
    </w:p>
    <w:p>
      <w:pPr>
        <w:pStyle w:val="ListBullet"/>
        <w:spacing w:before="0" w:after="80" w:line="276" w:lineRule="auto"/>
      </w:pPr>
      <w:r>
        <w:rPr>
          <w:rFonts w:ascii="Aptos" w:hAnsi="Aptos"/>
          <w:b w:val="0"/>
          <w:i w:val="0"/>
          <w:sz w:val="22"/>
        </w:rPr>
        <w:t>You are a defendant, or you are a plaintiff only as to a claim the other side filed against you, and you lost on that claim.</w:t>
      </w:r>
    </w:p>
    <w:p>
      <w:pPr>
        <w:pStyle w:val="ListBullet"/>
        <w:spacing w:before="0" w:after="80" w:line="276" w:lineRule="auto"/>
      </w:pPr>
      <w:r>
        <w:rPr>
          <w:rFonts w:ascii="Aptos" w:hAnsi="Aptos"/>
          <w:b w:val="0"/>
          <w:i w:val="0"/>
          <w:sz w:val="22"/>
        </w:rPr>
        <w:t>You are still within the 30-day appeal deadline after the notice of entry of judgment was handed or mailed.</w:t>
      </w:r>
    </w:p>
    <w:p>
      <w:pPr>
        <w:pStyle w:val="Heading1"/>
        <w:spacing w:before="0" w:after="80" w:line="276" w:lineRule="auto"/>
      </w:pPr>
      <w:r>
        <w:rPr>
          <w:rFonts w:ascii="Aptos" w:hAnsi="Aptos"/>
          <w:b w:val="0"/>
          <w:i w:val="0"/>
          <w:sz w:val="22"/>
        </w:rPr>
        <w:t>When a user should probably not choose this form</w:t>
      </w:r>
    </w:p>
    <w:p>
      <w:pPr>
        <w:pStyle w:val="ListBullet"/>
        <w:spacing w:before="0" w:after="80" w:line="276" w:lineRule="auto"/>
      </w:pPr>
      <w:r>
        <w:rPr>
          <w:rFonts w:ascii="Aptos" w:hAnsi="Aptos"/>
          <w:b w:val="0"/>
          <w:i w:val="0"/>
          <w:sz w:val="22"/>
        </w:rPr>
        <w:t>You were the plaintiff and simply lost your own original claim. Plaintiffs generally cannot appeal that loss in small claims.</w:t>
      </w:r>
    </w:p>
    <w:p>
      <w:pPr>
        <w:pStyle w:val="ListBullet"/>
        <w:spacing w:before="0" w:after="80" w:line="276" w:lineRule="auto"/>
      </w:pPr>
      <w:r>
        <w:rPr>
          <w:rFonts w:ascii="Aptos" w:hAnsi="Aptos"/>
          <w:b w:val="0"/>
          <w:i w:val="0"/>
          <w:sz w:val="22"/>
        </w:rPr>
        <w:t>You missed the hearing and want another chance. That usually calls for a motion to vacate, not an appeal.</w:t>
      </w:r>
    </w:p>
    <w:p>
      <w:pPr>
        <w:pStyle w:val="Heading1"/>
        <w:spacing w:before="0" w:after="80" w:line="276" w:lineRule="auto"/>
      </w:pPr>
      <w:r>
        <w:rPr>
          <w:rFonts w:ascii="Aptos" w:hAnsi="Aptos"/>
          <w:b w:val="0"/>
          <w:i w:val="0"/>
          <w:sz w:val="22"/>
        </w:rPr>
        <w:t>What the user should have ready</w:t>
      </w:r>
    </w:p>
    <w:p>
      <w:pPr>
        <w:pStyle w:val="ListBullet"/>
        <w:spacing w:before="0" w:after="80" w:line="276" w:lineRule="auto"/>
      </w:pPr>
      <w:r>
        <w:rPr>
          <w:rFonts w:ascii="Aptos" w:hAnsi="Aptos"/>
          <w:b w:val="0"/>
          <w:i w:val="0"/>
          <w:sz w:val="22"/>
        </w:rPr>
        <w:t>The judgment date and notice-of-entry date.</w:t>
      </w:r>
    </w:p>
    <w:p>
      <w:pPr>
        <w:pStyle w:val="ListBullet"/>
        <w:spacing w:before="0" w:after="80" w:line="276" w:lineRule="auto"/>
      </w:pPr>
      <w:r>
        <w:rPr>
          <w:rFonts w:ascii="Aptos" w:hAnsi="Aptos"/>
          <w:b w:val="0"/>
          <w:i w:val="0"/>
          <w:sz w:val="22"/>
        </w:rPr>
        <w:t>The case number and parties.</w:t>
      </w:r>
    </w:p>
    <w:p>
      <w:pPr>
        <w:pStyle w:val="ListBullet"/>
        <w:spacing w:before="0" w:after="80" w:line="276" w:lineRule="auto"/>
      </w:pPr>
      <w:r>
        <w:rPr>
          <w:rFonts w:ascii="Aptos" w:hAnsi="Aptos"/>
          <w:b w:val="0"/>
          <w:i w:val="0"/>
          <w:sz w:val="22"/>
        </w:rPr>
        <w:t>The filing fee or a fee waiver request.</w:t>
      </w:r>
    </w:p>
    <w:p>
      <w:pPr>
        <w:pStyle w:val="Heading1"/>
        <w:spacing w:before="0" w:after="80" w:line="276" w:lineRule="auto"/>
      </w:pPr>
      <w:r>
        <w:rPr>
          <w:rFonts w:ascii="Aptos" w:hAnsi="Aptos"/>
          <w:b w:val="0"/>
          <w:i w:val="0"/>
          <w:sz w:val="22"/>
        </w:rPr>
        <w:t>Recommended UI flow</w:t>
      </w:r>
    </w:p>
    <w:p>
      <w:pPr>
        <w:pStyle w:val="BodyCustom"/>
      </w:pPr>
    </w:p>
    <w:p>
      <w:pPr>
        <w:pStyle w:val="BodyCustom"/>
        <w:spacing w:before="0" w:after="80" w:line="276" w:lineRule="auto"/>
      </w:pPr>
      <w:r>
        <w:rPr>
          <w:rFonts w:ascii="Aptos" w:hAnsi="Aptos"/>
          <w:b/>
          <w:i w:val="0"/>
          <w:color w:val="1F4E79"/>
          <w:sz w:val="22"/>
        </w:rPr>
        <w:t xml:space="preserve">1. </w:t>
      </w:r>
      <w:r>
        <w:rPr>
          <w:rFonts w:ascii="Aptos" w:hAnsi="Aptos"/>
          <w:b w:val="0"/>
          <w:i w:val="0"/>
          <w:sz w:val="22"/>
        </w:rPr>
        <w:t>Confirm appeal rights before the UI lets the user continue.</w:t>
      </w:r>
    </w:p>
    <w:p>
      <w:pPr>
        <w:pStyle w:val="BodyCustom"/>
        <w:spacing w:before="0" w:after="80" w:line="276" w:lineRule="auto"/>
      </w:pPr>
      <w:r>
        <w:rPr>
          <w:rFonts w:ascii="Aptos" w:hAnsi="Aptos"/>
          <w:b/>
          <w:i w:val="0"/>
          <w:color w:val="1F4E79"/>
          <w:sz w:val="22"/>
        </w:rPr>
        <w:t xml:space="preserve">2. </w:t>
      </w:r>
      <w:r>
        <w:rPr>
          <w:rFonts w:ascii="Aptos" w:hAnsi="Aptos"/>
          <w:b w:val="0"/>
          <w:i w:val="0"/>
          <w:sz w:val="22"/>
        </w:rPr>
        <w:t>Count the 30-day deadline carefully from the notice of entry of judgment.</w:t>
      </w:r>
    </w:p>
    <w:p>
      <w:pPr>
        <w:pStyle w:val="BodyCustom"/>
        <w:spacing w:before="0" w:after="80" w:line="276" w:lineRule="auto"/>
      </w:pPr>
      <w:r>
        <w:rPr>
          <w:rFonts w:ascii="Aptos" w:hAnsi="Aptos"/>
          <w:b/>
          <w:i w:val="0"/>
          <w:color w:val="1F4E79"/>
          <w:sz w:val="22"/>
        </w:rPr>
        <w:t xml:space="preserve">3. </w:t>
      </w:r>
      <w:r>
        <w:rPr>
          <w:rFonts w:ascii="Aptos" w:hAnsi="Aptos"/>
          <w:b w:val="0"/>
          <w:i w:val="0"/>
          <w:sz w:val="22"/>
        </w:rPr>
        <w:t>File the notice, make copies, and be ready for a new hearing rather than a paper-only review.</w:t>
      </w:r>
    </w:p>
    <w:p>
      <w:pPr>
        <w:pStyle w:val="Heading1"/>
        <w:spacing w:before="0" w:after="80" w:line="276" w:lineRule="auto"/>
      </w:pPr>
      <w:r>
        <w:rPr>
          <w:rFonts w:ascii="Aptos" w:hAnsi="Aptos"/>
          <w:b w:val="0"/>
          <w:i w:val="0"/>
          <w:sz w:val="22"/>
        </w:rPr>
        <w:t>Decision warnings and coaching prompts</w:t>
      </w:r>
    </w:p>
    <w:p>
      <w:pPr>
        <w:pStyle w:val="ListBullet"/>
        <w:spacing w:before="0" w:after="80" w:line="276" w:lineRule="auto"/>
      </w:pPr>
      <w:r>
        <w:rPr>
          <w:rFonts w:ascii="Aptos" w:hAnsi="Aptos"/>
          <w:b w:val="0"/>
          <w:i w:val="0"/>
          <w:sz w:val="22"/>
        </w:rPr>
        <w:t>A small claims appeal is not a limited technical review. It generally leads to a new hearing. Users should prepare again from the ground up.</w:t>
      </w:r>
    </w:p>
    <w:p>
      <w:pPr>
        <w:pStyle w:val="ListBullet"/>
        <w:spacing w:before="0" w:after="80" w:line="276" w:lineRule="auto"/>
      </w:pPr>
      <w:r>
        <w:rPr>
          <w:rFonts w:ascii="Aptos" w:hAnsi="Aptos"/>
          <w:b w:val="0"/>
          <w:i w:val="0"/>
          <w:sz w:val="22"/>
        </w:rPr>
        <w:t>Missed deadlines are fatal. The interface should surface the date calculation early and prominently.</w:t>
      </w:r>
    </w:p>
    <w:p>
      <w:pPr>
        <w:pStyle w:val="Heading1"/>
        <w:spacing w:before="0" w:after="80" w:line="276" w:lineRule="auto"/>
      </w:pPr>
      <w:r>
        <w:rPr>
          <w:rFonts w:ascii="Aptos" w:hAnsi="Aptos"/>
          <w:b w:val="0"/>
          <w:i w:val="0"/>
          <w:sz w:val="22"/>
        </w:rPr>
        <w:t>Related forms and next steps</w:t>
      </w:r>
    </w:p>
    <w:p>
      <w:pPr>
        <w:pStyle w:val="ListBullet"/>
        <w:spacing w:before="0" w:after="80" w:line="276" w:lineRule="auto"/>
      </w:pPr>
      <w:r>
        <w:rPr>
          <w:rFonts w:ascii="Aptos" w:hAnsi="Aptos"/>
          <w:b w:val="0"/>
          <w:i w:val="0"/>
          <w:sz w:val="22"/>
        </w:rPr>
        <w:t>Notice of Entry of Judgment forms SC-130 or SC-200</w:t>
      </w:r>
    </w:p>
    <w:p>
      <w:pPr>
        <w:pStyle w:val="ListBullet"/>
        <w:spacing w:before="0" w:after="80" w:line="276" w:lineRule="auto"/>
      </w:pPr>
      <w:r>
        <w:rPr>
          <w:rFonts w:ascii="Aptos" w:hAnsi="Aptos"/>
          <w:b w:val="0"/>
          <w:i w:val="0"/>
          <w:sz w:val="22"/>
        </w:rPr>
        <w:t>post-trial preparation guidance for appeals</w:t>
      </w:r>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Source approach: </w:t>
            </w:r>
            <w:r>
              <w:rPr>
                <w:rFonts w:ascii="Aptos" w:hAnsi="Aptos"/>
                <w:b w:val="0"/>
                <w:i w:val="0"/>
                <w:sz w:val="22"/>
              </w:rPr>
              <w:t>This guide was drafted from official California Courts Self-Help form pages and related small-claims process pages, then rewritten into product-facing language for users who may not know court forms.</w:t>
            </w:r>
          </w:p>
        </w:tc>
      </w:tr>
    </w:tbl>
    <w:p/>
    <w:p>
      <w:pPr>
        <w:pStyle w:val="Heading1"/>
        <w:spacing w:before="0" w:after="80" w:line="276" w:lineRule="auto"/>
      </w:pPr>
      <w:r>
        <w:rPr>
          <w:rFonts w:ascii="Aptos" w:hAnsi="Aptos"/>
          <w:b w:val="0"/>
          <w:i w:val="0"/>
          <w:sz w:val="22"/>
        </w:rPr>
        <w:t>Suggested tile-page summary</w:t>
      </w:r>
    </w:p>
    <w:p>
      <w:pPr>
        <w:pStyle w:val="BodyCustom"/>
        <w:spacing w:before="0" w:after="160" w:line="276" w:lineRule="auto"/>
      </w:pPr>
      <w:r>
        <w:rPr>
          <w:rFonts w:ascii="Aptos" w:hAnsi="Aptos"/>
          <w:b w:val="0"/>
          <w:i w:val="0"/>
          <w:sz w:val="22"/>
        </w:rPr>
        <w:t>SC-140 is best presented as a decision page, not just a static description. The page should help a user quickly decide whether Notice of Appeal is the right form, what information they need before they begin, and what usually happens after filing or serving it. Users should leave the page with a clear yes-or-no answer and a realistic next step.</w:t>
      </w:r>
    </w:p>
    <w:p>
      <w:pPr>
        <w:pStyle w:val="Heading2"/>
        <w:spacing w:before="0" w:after="40" w:line="276" w:lineRule="auto"/>
      </w:pPr>
      <w:r>
        <w:rPr>
          <w:rFonts w:ascii="Aptos" w:hAnsi="Aptos"/>
          <w:b w:val="0"/>
          <w:i w:val="0"/>
          <w:sz w:val="22"/>
        </w:rPr>
        <w:t>Official-source note</w:t>
      </w:r>
    </w:p>
    <w:p>
      <w:pPr>
        <w:pStyle w:val="BodyCustom"/>
        <w:spacing w:before="0" w:after="0" w:line="276" w:lineRule="auto"/>
      </w:pPr>
      <w:r>
        <w:rPr>
          <w:rFonts w:ascii="Aptos" w:hAnsi="Aptos"/>
          <w:b w:val="0"/>
          <w:i w:val="0"/>
          <w:color w:val="5A5A5A"/>
          <w:sz w:val="21"/>
        </w:rPr>
        <w:t>Effective date referenced: January 1, 2007. Always confirm the current Judicial Council version and any county-specific local forms before release.</w:t>
      </w:r>
    </w:p>
    <w:sectPr w:rsidR="00FC693F" w:rsidRPr="0006063C" w:rsidSect="00034616">
      <w:footerReference w:type="default" r:id="rId9"/>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Aptos" w:hAnsi="Aptos"/>
        <w:b w:val="0"/>
        <w:i w:val="0"/>
        <w:color w:val="5A5A5A"/>
        <w:sz w:val="18"/>
      </w:rPr>
      <w:t>Small Claims UI Draft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Custom"/>
    <w:basedOn w:val="Normal"/>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