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before="0" w:after="40" w:line="276" w:lineRule="auto"/>
      </w:pPr>
      <w:r>
        <w:rPr>
          <w:rFonts w:ascii="Aptos" w:hAnsi="Aptos"/>
          <w:b w:val="0"/>
          <w:i w:val="0"/>
          <w:color w:val="1F4E79"/>
          <w:sz w:val="22"/>
        </w:rPr>
        <w:t>SC-150</w:t>
      </w:r>
    </w:p>
    <w:p>
      <w:pPr>
        <w:pStyle w:val="Title"/>
        <w:spacing w:before="0" w:after="40" w:line="276" w:lineRule="auto"/>
      </w:pPr>
      <w:r>
        <w:rPr>
          <w:rFonts w:ascii="Aptos" w:hAnsi="Aptos"/>
          <w:b w:val="0"/>
          <w:i w:val="0"/>
          <w:sz w:val="22"/>
        </w:rPr>
        <w:t>Request to Postpone Trial</w:t>
      </w:r>
    </w:p>
    <w:p>
      <w:pPr>
        <w:pStyle w:val="BodyCustom"/>
        <w:spacing w:before="0" w:after="200" w:line="276" w:lineRule="auto"/>
        <w:jc w:val="left"/>
      </w:pPr>
      <w:r>
        <w:rPr>
          <w:rFonts w:ascii="Aptos" w:hAnsi="Aptos"/>
          <w:b w:val="0"/>
          <w:i w:val="0"/>
          <w:color w:val="5A5A5A"/>
          <w:sz w:val="23"/>
        </w:rPr>
        <w:t>Use this when you need the judge to move the small claims hearing to a later date for a real, supportable reason.</w:t>
      </w:r>
    </w:p>
    <w:tbl>
      <w:tblPr>
        <w:tblW w:type="auto" w:w="0"/>
        <w:jc w:val="center"/>
        <w:tblLayout w:type="fixed"/>
        <w:tblLook w:firstColumn="1" w:firstRow="1" w:lastColumn="0" w:lastRow="0" w:noHBand="0" w:noVBand="1" w:val="04A0"/>
      </w:tblPr>
      <w:tblGrid>
        <w:gridCol w:w="4968"/>
        <w:gridCol w:w="4968"/>
      </w:tblGrid>
      <w:tr>
        <w:tc>
          <w:tcPr>
            <w:tcW w:type="dxa" w:w="2592"/>
            <w:tcMar>
              <w:top w:w="80" w:type="dxa"/>
              <w:start w:w="100" w:type="dxa"/>
              <w:bottom w:w="80" w:type="dxa"/>
              <w:end w:w="100" w:type="dxa"/>
            </w:tcMar>
            <w:vAlign w:val="center"/>
            <w:shd w:fill="D9EAF7"/>
          </w:tcPr>
          <w:p>
            <w:pPr>
              <w:spacing w:before="0" w:after="40" w:line="276" w:lineRule="auto"/>
            </w:pPr>
            <w:r>
              <w:rPr>
                <w:rFonts w:ascii="Aptos" w:hAnsi="Aptos"/>
                <w:b/>
                <w:i w:val="0"/>
                <w:color w:val="1F4E79"/>
                <w:sz w:val="21"/>
              </w:rPr>
              <w:t>Best use</w:t>
            </w:r>
          </w:p>
        </w:tc>
        <w:tc>
          <w:tcPr>
            <w:tcW w:type="dxa" w:w="6912"/>
            <w:tcMar>
              <w:top w:w="80" w:type="dxa"/>
              <w:start w:w="100" w:type="dxa"/>
              <w:bottom w:w="80" w:type="dxa"/>
              <w:end w:w="100" w:type="dxa"/>
            </w:tcMar>
            <w:vAlign w:val="center"/>
            <w:shd w:fill="F9FBFD"/>
          </w:tcPr>
          <w:p>
            <w:pPr>
              <w:spacing w:before="0" w:after="40" w:line="276" w:lineRule="auto"/>
            </w:pPr>
            <w:r>
              <w:rPr>
                <w:rFonts w:ascii="Aptos" w:hAnsi="Aptos"/>
                <w:b w:val="0"/>
                <w:i w:val="0"/>
                <w:sz w:val="21"/>
              </w:rPr>
              <w:t>Choose this form when the current trial date genuinely will not work and you can explain why the postponement is necessary.</w:t>
            </w:r>
          </w:p>
        </w:tc>
      </w:tr>
      <w:tr>
        <w:tc>
          <w:tcPr>
            <w:tcW w:type="dxa" w:w="2592"/>
            <w:tcMar>
              <w:top w:w="80" w:type="dxa"/>
              <w:start w:w="100" w:type="dxa"/>
              <w:bottom w:w="80" w:type="dxa"/>
              <w:end w:w="100" w:type="dxa"/>
            </w:tcMar>
            <w:vAlign w:val="center"/>
            <w:shd w:fill="D9EAF7"/>
          </w:tcPr>
          <w:p>
            <w:pPr>
              <w:spacing w:before="0" w:after="40" w:line="276" w:lineRule="auto"/>
            </w:pPr>
            <w:r>
              <w:rPr>
                <w:rFonts w:ascii="Aptos" w:hAnsi="Aptos"/>
                <w:b/>
                <w:i w:val="0"/>
                <w:color w:val="1F4E79"/>
                <w:sz w:val="21"/>
              </w:rPr>
              <w:t>Good fit when</w:t>
            </w:r>
          </w:p>
        </w:tc>
        <w:tc>
          <w:tcPr>
            <w:tcW w:type="dxa" w:w="6912"/>
            <w:tcMar>
              <w:top w:w="80" w:type="dxa"/>
              <w:start w:w="100" w:type="dxa"/>
              <w:bottom w:w="80" w:type="dxa"/>
              <w:end w:w="100" w:type="dxa"/>
            </w:tcMar>
            <w:vAlign w:val="center"/>
          </w:tcPr>
          <w:p>
            <w:pPr>
              <w:spacing w:before="0" w:after="40" w:line="276" w:lineRule="auto"/>
            </w:pPr>
            <w:r>
              <w:rPr>
                <w:rFonts w:ascii="Aptos" w:hAnsi="Aptos"/>
                <w:b w:val="0"/>
                <w:i w:val="0"/>
                <w:sz w:val="21"/>
              </w:rPr>
              <w:t>Use this when you need the judge to move the small claims hearing to a later date for a real, supportable reason.</w:t>
            </w:r>
          </w:p>
        </w:tc>
      </w:tr>
      <w:tr>
        <w:tc>
          <w:tcPr>
            <w:tcW w:type="dxa" w:w="2592"/>
            <w:tcMar>
              <w:top w:w="80" w:type="dxa"/>
              <w:start w:w="100" w:type="dxa"/>
              <w:bottom w:w="80" w:type="dxa"/>
              <w:end w:w="100" w:type="dxa"/>
            </w:tcMar>
            <w:vAlign w:val="center"/>
            <w:shd w:fill="D9EAF7"/>
          </w:tcPr>
          <w:p>
            <w:pPr>
              <w:spacing w:before="0" w:after="40" w:line="276" w:lineRule="auto"/>
            </w:pPr>
            <w:r>
              <w:rPr>
                <w:rFonts w:ascii="Aptos" w:hAnsi="Aptos"/>
                <w:b/>
                <w:i w:val="0"/>
                <w:color w:val="1F4E79"/>
                <w:sz w:val="21"/>
              </w:rPr>
              <w:t>Form role</w:t>
            </w:r>
          </w:p>
        </w:tc>
        <w:tc>
          <w:tcPr>
            <w:tcW w:type="dxa" w:w="6912"/>
            <w:tcMar>
              <w:top w:w="80" w:type="dxa"/>
              <w:start w:w="100" w:type="dxa"/>
              <w:bottom w:w="80" w:type="dxa"/>
              <w:end w:w="100" w:type="dxa"/>
            </w:tcMar>
            <w:vAlign w:val="center"/>
            <w:shd w:fill="F9FBFD"/>
          </w:tcPr>
          <w:p>
            <w:pPr>
              <w:spacing w:before="0" w:after="40" w:line="276" w:lineRule="auto"/>
            </w:pPr>
            <w:r>
              <w:rPr>
                <w:rFonts w:ascii="Aptos" w:hAnsi="Aptos"/>
                <w:b w:val="0"/>
                <w:i w:val="0"/>
                <w:sz w:val="21"/>
              </w:rPr>
              <w:t>Primary form</w:t>
            </w:r>
          </w:p>
        </w:tc>
      </w:tr>
      <w:tr>
        <w:tc>
          <w:tcPr>
            <w:tcW w:type="dxa" w:w="2592"/>
            <w:tcMar>
              <w:top w:w="80" w:type="dxa"/>
              <w:start w:w="100" w:type="dxa"/>
              <w:bottom w:w="80" w:type="dxa"/>
              <w:end w:w="100" w:type="dxa"/>
            </w:tcMar>
            <w:vAlign w:val="center"/>
            <w:shd w:fill="D9EAF7"/>
          </w:tcPr>
          <w:p>
            <w:pPr>
              <w:spacing w:before="0" w:after="40" w:line="276" w:lineRule="auto"/>
            </w:pPr>
            <w:r>
              <w:rPr>
                <w:rFonts w:ascii="Aptos" w:hAnsi="Aptos"/>
                <w:b/>
                <w:i w:val="0"/>
                <w:color w:val="1F4E79"/>
                <w:sz w:val="21"/>
              </w:rPr>
              <w:t>Effective version noted</w:t>
            </w:r>
          </w:p>
        </w:tc>
        <w:tc>
          <w:tcPr>
            <w:tcW w:type="dxa" w:w="6912"/>
            <w:tcMar>
              <w:top w:w="80" w:type="dxa"/>
              <w:start w:w="100" w:type="dxa"/>
              <w:bottom w:w="80" w:type="dxa"/>
              <w:end w:w="100" w:type="dxa"/>
            </w:tcMar>
            <w:vAlign w:val="center"/>
          </w:tcPr>
          <w:p>
            <w:pPr>
              <w:spacing w:before="0" w:after="40" w:line="276" w:lineRule="auto"/>
            </w:pPr>
            <w:r>
              <w:rPr>
                <w:rFonts w:ascii="Aptos" w:hAnsi="Aptos"/>
                <w:b w:val="0"/>
                <w:i w:val="0"/>
                <w:sz w:val="21"/>
              </w:rPr>
              <w:t>July 1, 2025</w:t>
            </w:r>
          </w:p>
        </w:tc>
      </w:tr>
    </w:tbl>
    <w:p/>
    <w:tbl>
      <w:tblPr>
        <w:tblW w:type="auto" w:w="0"/>
        <w:jc w:val="center"/>
        <w:tblLayout w:type="autofit"/>
        <w:tblLook w:firstColumn="1" w:firstRow="1" w:lastColumn="0" w:lastRow="0" w:noHBand="0" w:noVBand="1" w:val="04A0"/>
      </w:tblPr>
      <w:tblGrid>
        <w:gridCol w:w="9936"/>
      </w:tblGrid>
      <w:tr>
        <w:tc>
          <w:tcPr>
            <w:tcW w:type="dxa" w:w="9936"/>
            <w:shd w:fill="EAF2F8"/>
            <w:tcMar>
              <w:top w:w="120" w:type="dxa"/>
              <w:start w:w="140" w:type="dxa"/>
              <w:bottom w:w="120" w:type="dxa"/>
              <w:end w:w="140" w:type="dxa"/>
            </w:tcMar>
            <w:vAlign w:val="center"/>
          </w:tcPr>
          <w:p>
            <w:pPr>
              <w:spacing w:before="0" w:after="40" w:line="276" w:lineRule="auto"/>
            </w:pPr>
            <w:r>
              <w:rPr>
                <w:rFonts w:ascii="Aptos" w:hAnsi="Aptos"/>
                <w:b/>
                <w:i w:val="0"/>
                <w:color w:val="1F4E79"/>
                <w:sz w:val="22"/>
              </w:rPr>
              <w:t xml:space="preserve">Design intent: </w:t>
            </w:r>
            <w:r>
              <w:rPr>
                <w:rFonts w:ascii="Aptos" w:hAnsi="Aptos"/>
                <w:b w:val="0"/>
                <w:i w:val="0"/>
                <w:sz w:val="22"/>
              </w:rPr>
              <w:t>Position this page as a serious request, not a casual reschedule. Good UI language should help the user explain necessity, not preference.</w:t>
            </w:r>
          </w:p>
        </w:tc>
      </w:tr>
    </w:tbl>
    <w:p/>
    <w:p>
      <w:pPr>
        <w:pStyle w:val="Heading1"/>
        <w:spacing w:before="0" w:after="80" w:line="276" w:lineRule="auto"/>
      </w:pPr>
      <w:r>
        <w:rPr>
          <w:rFonts w:ascii="Aptos" w:hAnsi="Aptos"/>
          <w:b w:val="0"/>
          <w:i w:val="0"/>
          <w:sz w:val="22"/>
        </w:rPr>
        <w:t>When a user should choose this form</w:t>
      </w:r>
    </w:p>
    <w:p>
      <w:pPr>
        <w:pStyle w:val="ListBullet"/>
        <w:spacing w:before="0" w:after="80" w:line="276" w:lineRule="auto"/>
      </w:pPr>
      <w:r>
        <w:rPr>
          <w:rFonts w:ascii="Aptos" w:hAnsi="Aptos"/>
          <w:b w:val="0"/>
          <w:i w:val="0"/>
          <w:sz w:val="22"/>
        </w:rPr>
        <w:t>You have a legitimate conflict, emergency, or service problem that makes the current hearing date unreasonable.</w:t>
      </w:r>
    </w:p>
    <w:p>
      <w:pPr>
        <w:pStyle w:val="ListBullet"/>
        <w:spacing w:before="0" w:after="80" w:line="276" w:lineRule="auto"/>
      </w:pPr>
      <w:r>
        <w:rPr>
          <w:rFonts w:ascii="Aptos" w:hAnsi="Aptos"/>
          <w:b w:val="0"/>
          <w:i w:val="0"/>
          <w:sz w:val="22"/>
        </w:rPr>
        <w:t>You can explain the reason clearly and, if possible, attach proof.</w:t>
      </w:r>
    </w:p>
    <w:p>
      <w:pPr>
        <w:pStyle w:val="ListBullet"/>
        <w:spacing w:before="0" w:after="80" w:line="276" w:lineRule="auto"/>
      </w:pPr>
      <w:r>
        <w:rPr>
          <w:rFonts w:ascii="Aptos" w:hAnsi="Aptos"/>
          <w:b w:val="0"/>
          <w:i w:val="0"/>
          <w:sz w:val="22"/>
        </w:rPr>
        <w:t>You are asking before the hearing date, ideally at least 10 days ahead when possible.</w:t>
      </w:r>
    </w:p>
    <w:p>
      <w:pPr>
        <w:pStyle w:val="Heading1"/>
        <w:spacing w:before="0" w:after="80" w:line="276" w:lineRule="auto"/>
      </w:pPr>
      <w:r>
        <w:rPr>
          <w:rFonts w:ascii="Aptos" w:hAnsi="Aptos"/>
          <w:b w:val="0"/>
          <w:i w:val="0"/>
          <w:sz w:val="22"/>
        </w:rPr>
        <w:t>When a user should probably not choose this form</w:t>
      </w:r>
    </w:p>
    <w:p>
      <w:pPr>
        <w:pStyle w:val="ListBullet"/>
        <w:spacing w:before="0" w:after="80" w:line="276" w:lineRule="auto"/>
      </w:pPr>
      <w:r>
        <w:rPr>
          <w:rFonts w:ascii="Aptos" w:hAnsi="Aptos"/>
          <w:b w:val="0"/>
          <w:i w:val="0"/>
          <w:sz w:val="22"/>
        </w:rPr>
        <w:t>You simply are not ready because you waited too long without a strong explanation.</w:t>
      </w:r>
    </w:p>
    <w:p>
      <w:pPr>
        <w:pStyle w:val="ListBullet"/>
        <w:spacing w:before="0" w:after="80" w:line="276" w:lineRule="auto"/>
      </w:pPr>
      <w:r>
        <w:rPr>
          <w:rFonts w:ascii="Aptos" w:hAnsi="Aptos"/>
          <w:b w:val="0"/>
          <w:i w:val="0"/>
          <w:sz w:val="22"/>
        </w:rPr>
        <w:t>You want to delay for tactical reasons. Judges usually want a good reason, not convenience.</w:t>
      </w:r>
    </w:p>
    <w:p>
      <w:pPr>
        <w:pStyle w:val="Heading1"/>
        <w:spacing w:before="0" w:after="80" w:line="276" w:lineRule="auto"/>
      </w:pPr>
      <w:r>
        <w:rPr>
          <w:rFonts w:ascii="Aptos" w:hAnsi="Aptos"/>
          <w:b w:val="0"/>
          <w:i w:val="0"/>
          <w:sz w:val="22"/>
        </w:rPr>
        <w:t>What the user should have ready</w:t>
      </w:r>
    </w:p>
    <w:p>
      <w:pPr>
        <w:pStyle w:val="ListBullet"/>
        <w:spacing w:before="0" w:after="80" w:line="276" w:lineRule="auto"/>
      </w:pPr>
      <w:r>
        <w:rPr>
          <w:rFonts w:ascii="Aptos" w:hAnsi="Aptos"/>
          <w:b w:val="0"/>
          <w:i w:val="0"/>
          <w:sz w:val="22"/>
        </w:rPr>
        <w:t>The current hearing date.</w:t>
      </w:r>
    </w:p>
    <w:p>
      <w:pPr>
        <w:pStyle w:val="ListBullet"/>
        <w:spacing w:before="0" w:after="80" w:line="276" w:lineRule="auto"/>
      </w:pPr>
      <w:r>
        <w:rPr>
          <w:rFonts w:ascii="Aptos" w:hAnsi="Aptos"/>
          <w:b w:val="0"/>
          <w:i w:val="0"/>
          <w:sz w:val="22"/>
        </w:rPr>
        <w:t>A specific explanation of why you need more time.</w:t>
      </w:r>
    </w:p>
    <w:p>
      <w:pPr>
        <w:pStyle w:val="ListBullet"/>
        <w:spacing w:before="0" w:after="80" w:line="276" w:lineRule="auto"/>
      </w:pPr>
      <w:r>
        <w:rPr>
          <w:rFonts w:ascii="Aptos" w:hAnsi="Aptos"/>
          <w:b w:val="0"/>
          <w:i w:val="0"/>
          <w:sz w:val="22"/>
        </w:rPr>
        <w:t>Any supporting documents, such as travel records, medical proof, or evidence of unsuccessful service efforts.</w:t>
      </w:r>
    </w:p>
    <w:p>
      <w:pPr>
        <w:pStyle w:val="ListBullet"/>
        <w:spacing w:before="0" w:after="80" w:line="276" w:lineRule="auto"/>
      </w:pPr>
      <w:r>
        <w:rPr>
          <w:rFonts w:ascii="Aptos" w:hAnsi="Aptos"/>
          <w:b w:val="0"/>
          <w:i w:val="0"/>
          <w:sz w:val="22"/>
        </w:rPr>
        <w:t>A plan to serve the request on the other parties.</w:t>
      </w:r>
    </w:p>
    <w:p>
      <w:pPr>
        <w:pStyle w:val="Heading1"/>
        <w:spacing w:before="0" w:after="80" w:line="276" w:lineRule="auto"/>
      </w:pPr>
      <w:r>
        <w:rPr>
          <w:rFonts w:ascii="Aptos" w:hAnsi="Aptos"/>
          <w:b w:val="0"/>
          <w:i w:val="0"/>
          <w:sz w:val="22"/>
        </w:rPr>
        <w:t>Recommended UI flow</w:t>
      </w:r>
    </w:p>
    <w:p>
      <w:pPr>
        <w:pStyle w:val="BodyCustom"/>
      </w:pPr>
    </w:p>
    <w:p>
      <w:pPr>
        <w:pStyle w:val="BodyCustom"/>
        <w:spacing w:before="0" w:after="80" w:line="276" w:lineRule="auto"/>
      </w:pPr>
      <w:r>
        <w:rPr>
          <w:rFonts w:ascii="Aptos" w:hAnsi="Aptos"/>
          <w:b/>
          <w:i w:val="0"/>
          <w:color w:val="1F4E79"/>
          <w:sz w:val="22"/>
        </w:rPr>
        <w:t xml:space="preserve">1. </w:t>
      </w:r>
      <w:r>
        <w:rPr>
          <w:rFonts w:ascii="Aptos" w:hAnsi="Aptos"/>
          <w:b w:val="0"/>
          <w:i w:val="0"/>
          <w:sz w:val="22"/>
        </w:rPr>
        <w:t>State the reason directly and in detail.</w:t>
      </w:r>
    </w:p>
    <w:p>
      <w:pPr>
        <w:pStyle w:val="BodyCustom"/>
        <w:spacing w:before="0" w:after="80" w:line="276" w:lineRule="auto"/>
      </w:pPr>
      <w:r>
        <w:rPr>
          <w:rFonts w:ascii="Aptos" w:hAnsi="Aptos"/>
          <w:b/>
          <w:i w:val="0"/>
          <w:color w:val="1F4E79"/>
          <w:sz w:val="22"/>
        </w:rPr>
        <w:t xml:space="preserve">2. </w:t>
      </w:r>
      <w:r>
        <w:rPr>
          <w:rFonts w:ascii="Aptos" w:hAnsi="Aptos"/>
          <w:b w:val="0"/>
          <w:i w:val="0"/>
          <w:sz w:val="22"/>
        </w:rPr>
        <w:t>Attach proof where possible.</w:t>
      </w:r>
    </w:p>
    <w:p>
      <w:pPr>
        <w:pStyle w:val="BodyCustom"/>
        <w:spacing w:before="0" w:after="80" w:line="276" w:lineRule="auto"/>
      </w:pPr>
      <w:r>
        <w:rPr>
          <w:rFonts w:ascii="Aptos" w:hAnsi="Aptos"/>
          <w:b/>
          <w:i w:val="0"/>
          <w:color w:val="1F4E79"/>
          <w:sz w:val="22"/>
        </w:rPr>
        <w:t xml:space="preserve">3. </w:t>
      </w:r>
      <w:r>
        <w:rPr>
          <w:rFonts w:ascii="Aptos" w:hAnsi="Aptos"/>
          <w:b w:val="0"/>
          <w:i w:val="0"/>
          <w:sz w:val="22"/>
        </w:rPr>
        <w:t>File the request and serve copies on everyone else in the case, often by mail or as the court requires.</w:t>
      </w:r>
    </w:p>
    <w:p>
      <w:pPr>
        <w:pStyle w:val="BodyCustom"/>
        <w:spacing w:before="0" w:after="80" w:line="276" w:lineRule="auto"/>
      </w:pPr>
      <w:r>
        <w:rPr>
          <w:rFonts w:ascii="Aptos" w:hAnsi="Aptos"/>
          <w:b/>
          <w:i w:val="0"/>
          <w:color w:val="1F4E79"/>
          <w:sz w:val="22"/>
        </w:rPr>
        <w:t xml:space="preserve">4. </w:t>
      </w:r>
      <w:r>
        <w:rPr>
          <w:rFonts w:ascii="Aptos" w:hAnsi="Aptos"/>
          <w:b w:val="0"/>
          <w:i w:val="0"/>
          <w:sz w:val="22"/>
        </w:rPr>
        <w:t>Watch for the court's ruling and still attend the current hearing unless the court grants the postponement or tells you otherwise.</w:t>
      </w:r>
    </w:p>
    <w:p>
      <w:pPr>
        <w:pStyle w:val="Heading1"/>
        <w:spacing w:before="0" w:after="80" w:line="276" w:lineRule="auto"/>
      </w:pPr>
      <w:r>
        <w:rPr>
          <w:rFonts w:ascii="Aptos" w:hAnsi="Aptos"/>
          <w:b w:val="0"/>
          <w:i w:val="0"/>
          <w:sz w:val="22"/>
        </w:rPr>
        <w:t>Decision warnings and coaching prompts</w:t>
      </w:r>
    </w:p>
    <w:p>
      <w:pPr>
        <w:pStyle w:val="ListBullet"/>
        <w:spacing w:before="0" w:after="80" w:line="276" w:lineRule="auto"/>
      </w:pPr>
      <w:r>
        <w:rPr>
          <w:rFonts w:ascii="Aptos" w:hAnsi="Aptos"/>
          <w:b w:val="0"/>
          <w:i w:val="0"/>
          <w:sz w:val="22"/>
        </w:rPr>
        <w:t>A request is not automatically granted. The UI should say that clearly.</w:t>
      </w:r>
    </w:p>
    <w:p>
      <w:pPr>
        <w:pStyle w:val="ListBullet"/>
        <w:spacing w:before="0" w:after="80" w:line="276" w:lineRule="auto"/>
      </w:pPr>
      <w:r>
        <w:rPr>
          <w:rFonts w:ascii="Aptos" w:hAnsi="Aptos"/>
          <w:b w:val="0"/>
          <w:i w:val="0"/>
          <w:sz w:val="22"/>
        </w:rPr>
        <w:t>If the hearing is very close, users may need to contact the clerk or small claims advisor for local instructions.</w:t>
      </w:r>
    </w:p>
    <w:p>
      <w:pPr>
        <w:pStyle w:val="ListBullet"/>
        <w:spacing w:before="0" w:after="80" w:line="276" w:lineRule="auto"/>
      </w:pPr>
      <w:r>
        <w:rPr>
          <w:rFonts w:ascii="Aptos" w:hAnsi="Aptos"/>
          <w:b w:val="0"/>
          <w:i w:val="0"/>
          <w:sz w:val="22"/>
        </w:rPr>
        <w:t>There is typically a fee to request a postponement unless waived.</w:t>
      </w:r>
    </w:p>
    <w:p>
      <w:pPr>
        <w:pStyle w:val="Heading1"/>
        <w:spacing w:before="0" w:after="80" w:line="276" w:lineRule="auto"/>
      </w:pPr>
      <w:r>
        <w:rPr>
          <w:rFonts w:ascii="Aptos" w:hAnsi="Aptos"/>
          <w:b w:val="0"/>
          <w:i w:val="0"/>
          <w:sz w:val="22"/>
        </w:rPr>
        <w:t>Related forms and next steps</w:t>
      </w:r>
    </w:p>
    <w:p>
      <w:pPr>
        <w:pStyle w:val="ListBullet"/>
        <w:spacing w:before="0" w:after="80" w:line="276" w:lineRule="auto"/>
      </w:pPr>
      <w:r>
        <w:rPr>
          <w:rFonts w:ascii="Aptos" w:hAnsi="Aptos"/>
          <w:b w:val="0"/>
          <w:i w:val="0"/>
          <w:sz w:val="22"/>
        </w:rPr>
        <w:t>SC-112A to prove mail service of the request if mail service is used</w:t>
      </w:r>
    </w:p>
    <w:p>
      <w:pPr>
        <w:pStyle w:val="ListBullet"/>
        <w:spacing w:before="0" w:after="80" w:line="276" w:lineRule="auto"/>
      </w:pPr>
      <w:r>
        <w:rPr>
          <w:rFonts w:ascii="Aptos" w:hAnsi="Aptos"/>
          <w:b w:val="0"/>
          <w:i w:val="0"/>
          <w:sz w:val="22"/>
        </w:rPr>
        <w:t>SC-105 only if the user actually needs a different procedural order</w:t>
      </w:r>
    </w:p>
    <w:tbl>
      <w:tblPr>
        <w:tblW w:type="auto" w:w="0"/>
        <w:jc w:val="center"/>
        <w:tblLayout w:type="autofit"/>
        <w:tblLook w:firstColumn="1" w:firstRow="1" w:lastColumn="0" w:lastRow="0" w:noHBand="0" w:noVBand="1" w:val="04A0"/>
      </w:tblPr>
      <w:tblGrid>
        <w:gridCol w:w="9936"/>
      </w:tblGrid>
      <w:tr>
        <w:tc>
          <w:tcPr>
            <w:tcW w:type="dxa" w:w="9936"/>
            <w:shd w:fill="EAF2F8"/>
            <w:tcMar>
              <w:top w:w="120" w:type="dxa"/>
              <w:start w:w="140" w:type="dxa"/>
              <w:bottom w:w="120" w:type="dxa"/>
              <w:end w:w="140" w:type="dxa"/>
            </w:tcMar>
            <w:vAlign w:val="center"/>
          </w:tcPr>
          <w:p>
            <w:pPr>
              <w:spacing w:before="0" w:after="40" w:line="276" w:lineRule="auto"/>
            </w:pPr>
            <w:r>
              <w:rPr>
                <w:rFonts w:ascii="Aptos" w:hAnsi="Aptos"/>
                <w:b/>
                <w:i w:val="0"/>
                <w:color w:val="1F4E79"/>
                <w:sz w:val="22"/>
              </w:rPr>
              <w:t xml:space="preserve">Source approach: </w:t>
            </w:r>
            <w:r>
              <w:rPr>
                <w:rFonts w:ascii="Aptos" w:hAnsi="Aptos"/>
                <w:b w:val="0"/>
                <w:i w:val="0"/>
                <w:sz w:val="22"/>
              </w:rPr>
              <w:t>This guide was drafted from official California Courts Self-Help form pages and related small-claims process pages, then rewritten into product-facing language for users who may not know court forms.</w:t>
            </w:r>
          </w:p>
        </w:tc>
      </w:tr>
    </w:tbl>
    <w:p/>
    <w:p>
      <w:pPr>
        <w:pStyle w:val="Heading1"/>
        <w:spacing w:before="0" w:after="80" w:line="276" w:lineRule="auto"/>
      </w:pPr>
      <w:r>
        <w:rPr>
          <w:rFonts w:ascii="Aptos" w:hAnsi="Aptos"/>
          <w:b w:val="0"/>
          <w:i w:val="0"/>
          <w:sz w:val="22"/>
        </w:rPr>
        <w:t>Suggested tile-page summary</w:t>
      </w:r>
    </w:p>
    <w:p>
      <w:pPr>
        <w:pStyle w:val="BodyCustom"/>
        <w:spacing w:before="0" w:after="160" w:line="276" w:lineRule="auto"/>
      </w:pPr>
      <w:r>
        <w:rPr>
          <w:rFonts w:ascii="Aptos" w:hAnsi="Aptos"/>
          <w:b w:val="0"/>
          <w:i w:val="0"/>
          <w:sz w:val="22"/>
        </w:rPr>
        <w:t>SC-150 is best presented as a decision page, not just a static description. The page should help a user quickly decide whether Request to Postpone Trial is the right form, what information they need before they begin, and what usually happens after filing or serving it. Users should leave the page with a clear yes-or-no answer and a realistic next step.</w:t>
      </w:r>
    </w:p>
    <w:p>
      <w:pPr>
        <w:pStyle w:val="Heading2"/>
        <w:spacing w:before="0" w:after="40" w:line="276" w:lineRule="auto"/>
      </w:pPr>
      <w:r>
        <w:rPr>
          <w:rFonts w:ascii="Aptos" w:hAnsi="Aptos"/>
          <w:b w:val="0"/>
          <w:i w:val="0"/>
          <w:sz w:val="22"/>
        </w:rPr>
        <w:t>Official-source note</w:t>
      </w:r>
    </w:p>
    <w:p>
      <w:pPr>
        <w:pStyle w:val="BodyCustom"/>
        <w:spacing w:before="0" w:after="0" w:line="276" w:lineRule="auto"/>
      </w:pPr>
      <w:r>
        <w:rPr>
          <w:rFonts w:ascii="Aptos" w:hAnsi="Aptos"/>
          <w:b w:val="0"/>
          <w:i w:val="0"/>
          <w:color w:val="5A5A5A"/>
          <w:sz w:val="21"/>
        </w:rPr>
        <w:t>Effective date referenced: July 1, 2025. Always confirm the current Judicial Council version and any county-specific local forms before release.</w:t>
      </w:r>
    </w:p>
    <w:sectPr w:rsidR="00FC693F" w:rsidRPr="0006063C" w:rsidSect="00034616">
      <w:footerReference w:type="default" r:id="rId9"/>
      <w:pgSz w:w="12240" w:h="15840"/>
      <w:pgMar w:top="936"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76" w:lineRule="auto"/>
      <w:jc w:val="center"/>
    </w:pPr>
    <w:r>
      <w:rPr>
        <w:rFonts w:ascii="Aptos" w:hAnsi="Aptos"/>
        <w:b w:val="0"/>
        <w:i w:val="0"/>
        <w:color w:val="5A5A5A"/>
        <w:sz w:val="18"/>
      </w:rPr>
      <w:t>Small Claims UI Draft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Custom">
    <w:name w:val="BodyCustom"/>
    <w:basedOn w:val="Normal"/>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