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F4E79"/>
            <w:tcMar>
              <w:top w:w="120" w:type="dxa"/>
              <w:start w:w="170" w:type="dxa"/>
              <w:bottom w:w="110" w:type="dxa"/>
              <w:end w:w="170" w:type="dxa"/>
            </w:tcMar>
            <w:tcBorders>
              <w:top w:val="nil"/>
              <w:left w:val="nil"/>
              <w:bottom w:val="nil"/>
              <w:right w:val="nil"/>
              <w:insideH w:val="nil"/>
              <w:insideV w:val="nil"/>
            </w:tcBorders>
          </w:tcPr>
          <w:p>
            <w:pPr>
              <w:spacing w:before="0" w:after="0" w:line="259" w:lineRule="auto"/>
            </w:pPr>
            <w:r>
              <w:rPr>
                <w:rFonts w:ascii="Aptos Display" w:hAnsi="Aptos Display"/>
                <w:b/>
                <w:color w:val="FFFFFF"/>
                <w:sz w:val="37"/>
              </w:rPr>
              <w:t>SC-100 Page Content for Small Claims Genie</w:t>
            </w:r>
          </w:p>
        </w:tc>
      </w:tr>
    </w:tbl>
    <w:p>
      <w:pPr>
        <w:spacing w:before="0" w:after="100" w:line="259" w:lineRule="auto"/>
      </w:pPr>
      <w:r>
        <w:rPr>
          <w:b/>
        </w:rPr>
        <w:t>Audience:</w:t>
      </w:r>
      <w:r>
        <w:t xml:space="preserve"> Plaintiff filing a claim for money in California small claims court.</w:t>
      </w:r>
    </w:p>
    <w:p>
      <w:pPr>
        <w:spacing w:before="0" w:after="100" w:line="259" w:lineRule="auto"/>
      </w:pPr>
      <w:r>
        <w:rPr>
          <w:b/>
        </w:rPr>
        <w:t>Purpose of this page:</w:t>
      </w:r>
      <w:r>
        <w:t xml:space="preserve"> Explain, in plain language, what Form SC-100 is, why the user must complete it, and what happens if more space is needed.</w:t>
      </w:r>
    </w:p>
    <w:tbl>
      <w:tblPr>
        <w:tblW w:type="auto" w:w="0"/>
        <w:jc w:val="center"/>
        <w:tblLook w:firstColumn="1" w:firstRow="1" w:lastColumn="0" w:lastRow="0" w:noHBand="0" w:noVBand="1" w:val="04A0"/>
      </w:tblPr>
      <w:tblGrid>
        <w:gridCol w:w="9994"/>
      </w:tblGrid>
      <w:tr>
        <w:tc>
          <w:tcPr>
            <w:tcW w:type="dxa" w:w="9994"/>
            <w:shd w:fill="EAF2F8"/>
            <w:tcMar>
              <w:top w:w="90" w:type="dxa"/>
              <w:start w:w="130" w:type="dxa"/>
              <w:bottom w:w="85" w:type="dxa"/>
              <w:end w:w="130" w:type="dxa"/>
            </w:tcMar>
            <w:tcBorders>
              <w:top w:val="nil"/>
              <w:left w:val="nil"/>
              <w:bottom w:val="nil"/>
              <w:right w:val="nil"/>
              <w:insideH w:val="nil"/>
              <w:insideV w:val="nil"/>
            </w:tcBorders>
          </w:tcPr>
          <w:p>
            <w:pPr>
              <w:spacing w:before="0" w:after="0" w:line="259" w:lineRule="auto"/>
            </w:pPr>
            <w:r>
              <w:rPr>
                <w:b/>
                <w:color w:val="1F4E79"/>
                <w:sz w:val="23"/>
              </w:rPr>
              <w:t>Simple explanation for the user</w:t>
            </w:r>
          </w:p>
        </w:tc>
      </w:tr>
    </w:tbl>
    <w:p>
      <w:pPr>
        <w:spacing w:before="20" w:after="20" w:line="259" w:lineRule="auto"/>
      </w:pPr>
      <w:r>
        <w:rPr>
          <w:b/>
          <w:color w:val="1F4E79"/>
          <w:sz w:val="22"/>
        </w:rPr>
        <w:t>What this form is</w:t>
      </w:r>
    </w:p>
    <w:p>
      <w:pPr>
        <w:spacing w:before="0" w:after="80" w:line="264" w:lineRule="auto"/>
      </w:pPr>
      <w:r>
        <w:t>Form SC-100 is the main form used to start a small claims case in California. It tells the court who is filing the case, who is being sued, how much money is being requested, and a short explanation of what happened.</w:t>
      </w:r>
    </w:p>
    <w:p>
      <w:pPr>
        <w:spacing w:before="20" w:after="20" w:line="259" w:lineRule="auto"/>
      </w:pPr>
      <w:r>
        <w:rPr>
          <w:b/>
          <w:color w:val="1F4E79"/>
          <w:sz w:val="22"/>
        </w:rPr>
        <w:t>Why the user needs it</w:t>
      </w:r>
    </w:p>
    <w:p>
      <w:pPr>
        <w:spacing w:before="0" w:after="80" w:line="264" w:lineRule="auto"/>
      </w:pPr>
      <w:r>
        <w:t>SC-100 is the standard statewide starting form. The court uses it to open the case, assign a hearing, and identify the basic facts of the dispute.</w:t>
      </w:r>
    </w:p>
    <w:p>
      <w:pPr>
        <w:spacing w:before="20" w:after="20" w:line="259" w:lineRule="auto"/>
      </w:pPr>
      <w:r>
        <w:rPr>
          <w:b/>
          <w:color w:val="1F4E79"/>
          <w:sz w:val="22"/>
        </w:rPr>
        <w:t>What the user will put on it</w:t>
      </w:r>
    </w:p>
    <w:p>
      <w:pPr>
        <w:spacing w:before="0" w:after="80" w:line="264" w:lineRule="auto"/>
      </w:pPr>
      <w:r>
        <w:t>The user will enter the names and addresses of the parties, the amount being requested, why they are suing, and why the case is being filed in that county. The explanation should be short, clear, and focused on the key facts.</w:t>
      </w:r>
    </w:p>
    <w:p>
      <w:pPr>
        <w:spacing w:before="20" w:after="20" w:line="259" w:lineRule="auto"/>
      </w:pPr>
      <w:r>
        <w:rPr>
          <w:b/>
          <w:color w:val="1F4E79"/>
          <w:sz w:val="22"/>
        </w:rPr>
        <w:t>If there is not enough space</w:t>
      </w:r>
    </w:p>
    <w:p>
      <w:pPr>
        <w:spacing w:before="0" w:after="80" w:line="264" w:lineRule="auto"/>
      </w:pPr>
      <w:r>
        <w:t>If the user cannot fit the full explanation on SC-100, the application should automatically direct them to Form MC-030, Declaration. MC-030 is the standard California declaration form used to provide additional facts in writing. The interface should label it “MC-030 Declaration,” not “CMC 30.”</w:t>
      </w:r>
    </w:p>
    <w:p>
      <w:pPr>
        <w:spacing w:before="20" w:after="20" w:line="259" w:lineRule="auto"/>
      </w:pPr>
      <w:r>
        <w:rPr>
          <w:b/>
          <w:color w:val="1F4E79"/>
          <w:sz w:val="22"/>
        </w:rPr>
        <w:t>What the extra declaration should do</w:t>
      </w:r>
    </w:p>
    <w:p>
      <w:pPr>
        <w:spacing w:before="0" w:after="80" w:line="264" w:lineRule="auto"/>
      </w:pPr>
      <w:r>
        <w:t>The MC-030 Declaration should expand the facts in a simple timeline format: what happened, when it happened, what the other side did or failed to do, how much money is being requested, and why the plaintiff believes that amount is owed. The short summary should still remain on SC-100.</w:t>
      </w:r>
    </w:p>
    <w:p>
      <w:pPr>
        <w:spacing w:before="20" w:after="20" w:line="259" w:lineRule="auto"/>
      </w:pPr>
      <w:r>
        <w:rPr>
          <w:b/>
          <w:color w:val="1F4E79"/>
          <w:sz w:val="22"/>
        </w:rPr>
        <w:t>Helpful reminder</w:t>
      </w:r>
    </w:p>
    <w:p>
      <w:pPr>
        <w:spacing w:before="0" w:after="80" w:line="264" w:lineRule="auto"/>
      </w:pPr>
      <w:r>
        <w:t>Remind users to review fee waiver options before they finish. If paying the filing fee would be difficult, they should check whether they qualify to use Form FW-001, Request to Waive Court Fees.</w:t>
      </w:r>
    </w:p>
    <w:tbl>
      <w:tblPr>
        <w:tblW w:type="auto" w:w="0"/>
        <w:jc w:val="center"/>
        <w:tblLook w:firstColumn="1" w:firstRow="1" w:lastColumn="0" w:lastRow="0" w:noHBand="0" w:noVBand="1" w:val="04A0"/>
      </w:tblPr>
      <w:tblGrid>
        <w:gridCol w:w="9994"/>
      </w:tblGrid>
      <w:tr>
        <w:tc>
          <w:tcPr>
            <w:tcW w:type="dxa" w:w="9994"/>
            <w:shd w:fill="F7F7F7"/>
            <w:tcMar>
              <w:top w:w="85" w:type="dxa"/>
              <w:start w:w="120" w:type="dxa"/>
              <w:bottom w:w="80" w:type="dxa"/>
              <w:end w:w="120" w:type="dxa"/>
            </w:tcMar>
            <w:tcBorders>
              <w:top w:val="nil"/>
              <w:left w:val="nil"/>
              <w:bottom w:val="nil"/>
              <w:right w:val="nil"/>
              <w:insideH w:val="nil"/>
              <w:insideV w:val="nil"/>
            </w:tcBorders>
          </w:tcPr>
          <w:p>
            <w:pPr>
              <w:spacing w:before="0" w:after="20" w:line="259" w:lineRule="auto"/>
            </w:pPr>
            <w:r>
              <w:rPr>
                <w:b/>
                <w:sz w:val="22"/>
              </w:rPr>
              <w:t>Suggested product copy</w:t>
            </w:r>
          </w:p>
          <w:p>
            <w:pPr>
              <w:spacing w:before="0" w:after="0" w:line="259" w:lineRule="auto"/>
            </w:pPr>
            <w:r>
              <w:t>SC-100 is the form that starts your California small claims case. It tells the court who you are suing, how much money you want, and why you are asking the court to order payment. You must complete this form because it is the statewide form used to open a small claims case. If your explanation does not fit in the space provided, we will direct you to MC-030 Declaration so you can add the rest of your facts and submit that with your filing. Before you finish, check whether you qualify for a fee waiver if paying the filing fee would be difficult.</w:t>
            </w:r>
          </w:p>
        </w:tc>
      </w:tr>
    </w:tbl>
    <w:p>
      <w:pPr>
        <w:spacing w:before="120" w:after="0" w:line="259" w:lineRule="auto"/>
        <w:jc w:val="right"/>
      </w:pPr>
      <w:r>
        <w:rPr>
          <w:i/>
          <w:color w:val="646464"/>
          <w:sz w:val="18"/>
        </w:rPr>
        <w:t>Prepared for developer handoff</w:t>
      </w:r>
    </w:p>
    <w:sectPr w:rsidR="00FC693F" w:rsidRPr="0006063C" w:rsidSect="00034616">
      <w:pgSz w:w="12240" w:h="15840"/>
      <w:pgMar w:top="893" w:right="1123" w:bottom="79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