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Quantour</w:t>
      </w: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  <w:lang w:eastAsia="zh-CN"/>
        </w:rPr>
        <w:t>软件测试用例</w:t>
      </w:r>
      <w:r>
        <w:rPr>
          <w:rFonts w:hint="eastAsia"/>
          <w:b/>
          <w:sz w:val="72"/>
          <w:szCs w:val="72"/>
        </w:rPr>
        <w:t>文档</w:t>
      </w: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pStyle w:val="7"/>
        <w:jc w:val="center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南京大学</w:t>
      </w:r>
      <w:r>
        <w:rPr>
          <w:sz w:val="36"/>
          <w:szCs w:val="36"/>
          <w:lang w:eastAsia="zh-CN"/>
        </w:rPr>
        <w:t>软件学院</w:t>
      </w:r>
      <w:r>
        <w:rPr>
          <w:rFonts w:hint="eastAsia"/>
          <w:sz w:val="36"/>
          <w:szCs w:val="36"/>
          <w:lang w:eastAsia="zh-CN"/>
        </w:rPr>
        <w:t>2015级</w:t>
      </w:r>
      <w:r>
        <w:rPr>
          <w:rFonts w:hint="eastAsia"/>
          <w:sz w:val="36"/>
          <w:szCs w:val="36"/>
          <w:lang w:val="en-US" w:eastAsia="zh-CN"/>
        </w:rPr>
        <w:t>Clam Team</w:t>
      </w:r>
    </w:p>
    <w:p>
      <w:pPr>
        <w:pStyle w:val="7"/>
        <w:jc w:val="center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费慧通，冯超，何林洋，梁先伟</w:t>
      </w:r>
    </w:p>
    <w:p>
      <w:pPr>
        <w:pStyle w:val="7"/>
        <w:jc w:val="center"/>
        <w:rPr>
          <w:rFonts w:hint="eastAsia"/>
          <w:sz w:val="36"/>
          <w:szCs w:val="36"/>
          <w:lang w:val="en-US" w:eastAsia="zh-CN"/>
        </w:rPr>
      </w:pPr>
      <w:r>
        <w:rPr>
          <w:sz w:val="36"/>
          <w:szCs w:val="36"/>
          <w:lang w:eastAsia="zh-CN"/>
        </w:rPr>
        <w:t>201</w:t>
      </w:r>
      <w:r>
        <w:rPr>
          <w:rFonts w:hint="eastAsia"/>
          <w:sz w:val="36"/>
          <w:szCs w:val="36"/>
          <w:lang w:val="en-US" w:eastAsia="zh-CN"/>
        </w:rPr>
        <w:t>7.04.15</w:t>
      </w:r>
    </w:p>
    <w:p>
      <w:pPr>
        <w:pStyle w:val="7"/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需求1 策略回测结果图展示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需求2 策略和基准的累计收益率比较图展示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需求3 超额收益率和策略胜率与不同形成期/持有期的关系图展示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需求4 收益率分布直方图展示</w:t>
      </w:r>
    </w:p>
    <w:p>
      <w:pPr>
        <w:pStyle w:val="7"/>
        <w:jc w:val="center"/>
        <w:rPr>
          <w:rFonts w:hint="eastAsia"/>
          <w:sz w:val="36"/>
          <w:szCs w:val="36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测试用例套件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微软雅黑" w:hAnsi="微软雅黑" w:eastAsia="微软雅黑"/>
          <w:sz w:val="32"/>
          <w:szCs w:val="32"/>
          <w:lang w:eastAsia="zh-CN"/>
        </w:rPr>
        <w:t>需求</w:t>
      </w:r>
      <w:r>
        <w:rPr>
          <w:rFonts w:hint="eastAsia" w:ascii="微软雅黑" w:hAnsi="微软雅黑" w:eastAsia="微软雅黑"/>
          <w:sz w:val="32"/>
          <w:szCs w:val="32"/>
        </w:rPr>
        <w:t>1</w:t>
      </w:r>
      <w:r>
        <w:rPr>
          <w:rFonts w:ascii="微软雅黑" w:hAnsi="微软雅黑" w:eastAsia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sz w:val="32"/>
          <w:szCs w:val="32"/>
          <w:lang w:eastAsia="zh-CN"/>
        </w:rPr>
        <w:t>策略回测结果图展示</w:t>
      </w:r>
    </w:p>
    <w:p>
      <w:pPr>
        <w:jc w:val="center"/>
        <w:rPr>
          <w:rFonts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测试用例套件对需求的覆盖情况</w:t>
      </w:r>
    </w:p>
    <w:p/>
    <w:tbl>
      <w:tblPr>
        <w:tblStyle w:val="6"/>
        <w:tblW w:w="82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1"/>
        <w:gridCol w:w="2248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6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Strategy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Cs w:val="21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ackTest.Start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Strategy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Cs w:val="21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ackTest.Choose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Strategy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Cs w:val="21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ackTest.ChooseStrategy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Strategy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Cs w:val="21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ackTest.ChooseformingPeriod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Strategy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Cs w:val="21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ackTest.ChooseholdPeriod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Strategy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Cs w:val="21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ackTest.ChooseBeginDate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Strategy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Cs w:val="21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ackTest.ChooseEndDate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Strategy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Cs w:val="21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ackTest.Choosepool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Strategy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Cs w:val="21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ackTest.show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/>
    <w:p>
      <w:pPr>
        <w:jc w:val="center"/>
        <w:rPr>
          <w:rFonts w:cs="楷体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hint="eastAsia" w:cs="楷体"/>
          <w:sz w:val="30"/>
          <w:szCs w:val="30"/>
        </w:rPr>
        <w:t>测试用例套件</w:t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</w:t>
            </w:r>
          </w:p>
        </w:tc>
        <w:tc>
          <w:tcPr>
            <w:tcW w:w="5531" w:type="dxa"/>
            <w:gridSpan w:val="2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1.2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</w:tc>
      </w:tr>
    </w:tbl>
    <w:p/>
    <w:p>
      <w:pPr>
        <w:jc w:val="center"/>
        <w:rPr>
          <w:rFonts w:cs="楷体"/>
          <w:sz w:val="30"/>
          <w:szCs w:val="30"/>
        </w:rPr>
      </w:pPr>
    </w:p>
    <w:p>
      <w:pPr>
        <w:jc w:val="center"/>
      </w:pPr>
      <w:r>
        <w:rPr>
          <w:rFonts w:hint="eastAsia" w:cs="楷体"/>
          <w:sz w:val="30"/>
          <w:szCs w:val="30"/>
        </w:rPr>
        <w:t>测试用例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599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599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</w:t>
            </w:r>
          </w:p>
        </w:tc>
        <w:tc>
          <w:tcPr>
            <w:tcW w:w="368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599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用户选择查询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均值回归策略并选择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开始日期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结束日期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、形成期、持有期、股票池</w:t>
            </w:r>
          </w:p>
        </w:tc>
        <w:tc>
          <w:tcPr>
            <w:tcW w:w="368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系统展示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均值回归策略的回测结果图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99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用户选择查询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动量策略并选择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开始日期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结束日期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、形成期、持有期、股票池</w:t>
            </w:r>
          </w:p>
        </w:tc>
        <w:tc>
          <w:tcPr>
            <w:tcW w:w="3686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系统展示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动量策略的回测结果图</w:t>
            </w:r>
          </w:p>
        </w:tc>
      </w:tr>
    </w:tbl>
    <w:p/>
    <w:p/>
    <w:p/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需求2 策略和基准的累计收益率比较图展示</w:t>
      </w:r>
    </w:p>
    <w:p>
      <w:pPr>
        <w:jc w:val="center"/>
        <w:rPr>
          <w:rFonts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测试用例套件对需求的覆盖情况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1"/>
        <w:gridCol w:w="2248"/>
        <w:gridCol w:w="2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测试用例套件1</w:t>
            </w:r>
          </w:p>
        </w:tc>
        <w:tc>
          <w:tcPr>
            <w:tcW w:w="2387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StrategyComparedBase.Start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7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StrategyComparedBase.Choose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7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StrategyComparedBase.ChooseStrategy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7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StrategyComparedBase.ChooseformingPeriod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7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StrategyComparedBase.ChooseholdPeriod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7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StrategyComparedBase.ChooseBeginDate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7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StrategyComparedBase.ChooseEndDate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7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StrategyComparedBase.Choosepool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7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StrategyComparedBase.show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7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="楷体"/>
          <w:sz w:val="30"/>
          <w:szCs w:val="30"/>
        </w:rPr>
      </w:pPr>
    </w:p>
    <w:p>
      <w:pPr>
        <w:jc w:val="center"/>
        <w:rPr>
          <w:rFonts w:cs="楷体"/>
          <w:sz w:val="30"/>
          <w:szCs w:val="30"/>
        </w:rPr>
      </w:pPr>
      <w:r>
        <w:rPr>
          <w:rFonts w:hint="eastAsia" w:cs="楷体"/>
          <w:sz w:val="30"/>
          <w:szCs w:val="30"/>
        </w:rPr>
        <w:t>测试用例套件</w:t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</w:t>
            </w:r>
          </w:p>
        </w:tc>
        <w:tc>
          <w:tcPr>
            <w:tcW w:w="5531" w:type="dxa"/>
            <w:gridSpan w:val="2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</w:tr>
    </w:tbl>
    <w:p>
      <w:pPr>
        <w:jc w:val="center"/>
        <w:rPr>
          <w:rFonts w:hint="eastAsia" w:cs="楷体"/>
          <w:sz w:val="30"/>
          <w:szCs w:val="30"/>
        </w:rPr>
      </w:pPr>
    </w:p>
    <w:p>
      <w:pPr>
        <w:jc w:val="center"/>
        <w:rPr>
          <w:rFonts w:hint="eastAsia" w:cs="楷体"/>
          <w:sz w:val="30"/>
          <w:szCs w:val="30"/>
        </w:rPr>
      </w:pPr>
    </w:p>
    <w:p>
      <w:pPr>
        <w:jc w:val="center"/>
        <w:rPr>
          <w:rFonts w:hint="eastAsia" w:cs="楷体"/>
          <w:sz w:val="30"/>
          <w:szCs w:val="30"/>
        </w:rPr>
      </w:pPr>
    </w:p>
    <w:p>
      <w:pPr>
        <w:jc w:val="center"/>
      </w:pPr>
      <w:r>
        <w:rPr>
          <w:rFonts w:hint="eastAsia" w:cs="楷体"/>
          <w:sz w:val="30"/>
          <w:szCs w:val="30"/>
        </w:rPr>
        <w:t>测试用例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3492"/>
        <w:gridCol w:w="2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3492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</w:t>
            </w:r>
          </w:p>
        </w:tc>
        <w:tc>
          <w:tcPr>
            <w:tcW w:w="2793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3492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用户选择查询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均值回归策略并选择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开始日期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结束日期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、形成期、持有期、股票池</w:t>
            </w:r>
          </w:p>
        </w:tc>
        <w:tc>
          <w:tcPr>
            <w:tcW w:w="2793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系统展示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在均值回归策略下的累计收益率与基准下的累计收益率的比较图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  <w:tc>
          <w:tcPr>
            <w:tcW w:w="3492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用户选择查询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动量策略并选择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开始日期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结束日期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、形成期、持有期、股票池</w:t>
            </w:r>
          </w:p>
        </w:tc>
        <w:tc>
          <w:tcPr>
            <w:tcW w:w="2793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系统展示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在动量策略下的累计收益率与基准下的累计收益率的比较图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需求3 超额收益率和策略胜率与不同形成期/持有期的关系图展示</w:t>
      </w:r>
    </w:p>
    <w:p>
      <w:pPr>
        <w:jc w:val="center"/>
        <w:rPr>
          <w:rFonts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测试用例套件对需求的覆盖情况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1"/>
        <w:gridCol w:w="2248"/>
        <w:gridCol w:w="2385"/>
        <w:gridCol w:w="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测试用例套件1</w:t>
            </w:r>
          </w:p>
        </w:tc>
        <w:tc>
          <w:tcPr>
            <w:tcW w:w="2450" w:type="dxa"/>
            <w:gridSpan w:val="2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5" w:type="dxa"/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ReturnsAndWins.Start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5" w:type="dxa"/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ReturnsAndWins.Choose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5" w:type="dxa"/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ReturnsAndWins.ChooseStrategy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5" w:type="dxa"/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ReturnsAndWins.ChooseRorW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5" w:type="dxa"/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ReturnsAndWins.ChooseformingPeriod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5" w:type="dxa"/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ReturnsAndWins.ChooseholdPeriod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5" w:type="dxa"/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ReturnsAndWins.ChooseBeginDate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5" w:type="dxa"/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ReturnsAndWins.ChooseEndDate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5" w:type="dxa"/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ReturnsAndWins.Choosepool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5" w:type="dxa"/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ReturnsAndWins.show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/>
    <w:p>
      <w:pPr>
        <w:jc w:val="center"/>
        <w:rPr>
          <w:rFonts w:cs="楷体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hint="eastAsia" w:cs="楷体"/>
          <w:sz w:val="30"/>
          <w:szCs w:val="30"/>
        </w:rPr>
        <w:t>测试用例套件</w:t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</w:t>
            </w:r>
          </w:p>
        </w:tc>
        <w:tc>
          <w:tcPr>
            <w:tcW w:w="5531" w:type="dxa"/>
            <w:gridSpan w:val="2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rPr>
          <w:rFonts w:cs="楷体"/>
          <w:sz w:val="30"/>
          <w:szCs w:val="30"/>
        </w:rPr>
      </w:pPr>
    </w:p>
    <w:p>
      <w:pPr>
        <w:rPr>
          <w:rFonts w:cs="楷体"/>
          <w:sz w:val="30"/>
          <w:szCs w:val="30"/>
        </w:rPr>
      </w:pPr>
    </w:p>
    <w:p>
      <w:pPr>
        <w:rPr>
          <w:rFonts w:cs="楷体"/>
          <w:sz w:val="30"/>
          <w:szCs w:val="30"/>
        </w:rPr>
      </w:pPr>
    </w:p>
    <w:p>
      <w:pPr>
        <w:jc w:val="center"/>
      </w:pPr>
      <w:r>
        <w:rPr>
          <w:rFonts w:hint="eastAsia" w:cs="楷体"/>
          <w:sz w:val="30"/>
          <w:szCs w:val="30"/>
        </w:rPr>
        <w:t>测试用例</w:t>
      </w:r>
    </w:p>
    <w:tbl>
      <w:tblPr>
        <w:tblStyle w:val="6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883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883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883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用户选择查询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均值回归策略并选择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开始日期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结束日期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、股票池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同时选择查看超额收益率</w:t>
            </w:r>
          </w:p>
        </w:tc>
        <w:tc>
          <w:tcPr>
            <w:tcW w:w="3260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系统展示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在均值回归策略下的超额收益率与不同形成期、持有期的关系图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  <w:tc>
          <w:tcPr>
            <w:tcW w:w="2883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用户选择查询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动量策略并选择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开始日期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结束日期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、股票池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同时选择查看策略胜率</w:t>
            </w:r>
          </w:p>
        </w:tc>
        <w:tc>
          <w:tcPr>
            <w:tcW w:w="3260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系统展示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在动量策略下的策略胜率与不同形成期、持有期的关系图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/>
    <w:p/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微软雅黑" w:hAnsi="微软雅黑" w:eastAsia="微软雅黑"/>
          <w:sz w:val="32"/>
          <w:szCs w:val="32"/>
          <w:lang w:eastAsia="zh-CN"/>
        </w:rPr>
        <w:t>需求</w:t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4</w:t>
      </w:r>
      <w:r>
        <w:rPr>
          <w:rFonts w:ascii="微软雅黑" w:hAnsi="微软雅黑" w:eastAsia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sz w:val="32"/>
          <w:szCs w:val="32"/>
          <w:lang w:eastAsia="zh-CN"/>
        </w:rPr>
        <w:t>收益率分布直方图展示</w:t>
      </w:r>
    </w:p>
    <w:p>
      <w:pPr>
        <w:jc w:val="center"/>
        <w:rPr>
          <w:rFonts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测试用例套件对需求的覆盖情况</w:t>
      </w:r>
    </w:p>
    <w:p/>
    <w:tbl>
      <w:tblPr>
        <w:tblStyle w:val="6"/>
        <w:tblW w:w="82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1"/>
        <w:gridCol w:w="2248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66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RateOfReturn.Start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RateOfReturn.Choose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RateOfReturn.ChooseStrategy</w:t>
            </w:r>
          </w:p>
        </w:tc>
        <w:tc>
          <w:tcPr>
            <w:tcW w:w="2248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RateOfReturn.ChooseformingPeriod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RateOfReturn.ChooseholdPeriod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RateOfReturn.ChooseBeginDate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RateOfReturn.ChooseEndDate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RateOfReturn.Choosepool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661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RateOfReturn.show</w:t>
            </w:r>
          </w:p>
        </w:tc>
        <w:tc>
          <w:tcPr>
            <w:tcW w:w="224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3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/>
    <w:p>
      <w:pPr>
        <w:jc w:val="center"/>
        <w:rPr>
          <w:rFonts w:cs="楷体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hint="eastAsia" w:cs="楷体"/>
          <w:sz w:val="30"/>
          <w:szCs w:val="30"/>
        </w:rPr>
        <w:t>测试用例套件</w:t>
      </w:r>
    </w:p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</w:t>
            </w:r>
          </w:p>
        </w:tc>
        <w:tc>
          <w:tcPr>
            <w:tcW w:w="5531" w:type="dxa"/>
            <w:gridSpan w:val="2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1.2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</w:tc>
      </w:tr>
    </w:tbl>
    <w:p/>
    <w:p>
      <w:pPr>
        <w:jc w:val="center"/>
        <w:rPr>
          <w:rFonts w:cs="楷体"/>
          <w:sz w:val="30"/>
          <w:szCs w:val="30"/>
        </w:rPr>
      </w:pPr>
    </w:p>
    <w:p>
      <w:pPr>
        <w:jc w:val="center"/>
      </w:pPr>
      <w:r>
        <w:rPr>
          <w:rFonts w:hint="eastAsia" w:cs="楷体"/>
          <w:sz w:val="30"/>
          <w:szCs w:val="30"/>
        </w:rPr>
        <w:t>测试用例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599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599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</w:t>
            </w:r>
          </w:p>
        </w:tc>
        <w:tc>
          <w:tcPr>
            <w:tcW w:w="368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599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用户选择查询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均值回归策略并选择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开始日期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结束日期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、形成期、持有期、股票池</w:t>
            </w:r>
          </w:p>
        </w:tc>
        <w:tc>
          <w:tcPr>
            <w:tcW w:w="3686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系统展示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在均值回归策略下的收益率分布直方图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99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用户选择查询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动量策略并选择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开始日期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结束日期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、形成期、持有期、股票池</w:t>
            </w:r>
          </w:p>
        </w:tc>
        <w:tc>
          <w:tcPr>
            <w:tcW w:w="3686" w:type="dxa"/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系统展示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在动量策略下的收益率分布直方图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行楷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4D"/>
    <w:family w:val="modern"/>
    <w:pitch w:val="default"/>
    <w:sig w:usb0="E0002AFF" w:usb1="C0007843" w:usb2="00000009" w:usb3="00000000" w:csb0="400001FF" w:csb1="FFFF0000"/>
  </w:font>
  <w:font w:name="Heiti SC Light">
    <w:altName w:val="Adobe 仿宋 Std R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042E2"/>
    <w:rsid w:val="0D3C26E2"/>
    <w:rsid w:val="0EB26031"/>
    <w:rsid w:val="122220F0"/>
    <w:rsid w:val="19AF05ED"/>
    <w:rsid w:val="1E8314C5"/>
    <w:rsid w:val="215774C5"/>
    <w:rsid w:val="215F55CB"/>
    <w:rsid w:val="22F53039"/>
    <w:rsid w:val="2576686C"/>
    <w:rsid w:val="2A152289"/>
    <w:rsid w:val="36914EFC"/>
    <w:rsid w:val="401045DD"/>
    <w:rsid w:val="41707192"/>
    <w:rsid w:val="50784125"/>
    <w:rsid w:val="5BB07D2C"/>
    <w:rsid w:val="65E84436"/>
    <w:rsid w:val="66FD11DD"/>
    <w:rsid w:val="6773257C"/>
    <w:rsid w:val="6B551FA7"/>
    <w:rsid w:val="6EA001F8"/>
    <w:rsid w:val="702D5856"/>
    <w:rsid w:val="716A7D5C"/>
    <w:rsid w:val="76584CF0"/>
    <w:rsid w:val="7C2678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微软雅黑" w:hAnsi="微软雅黑" w:eastAsia="微软雅黑" w:cs="微软雅黑"/>
      <w:b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ByLine"/>
    <w:basedOn w:val="3"/>
    <w:qFormat/>
    <w:uiPriority w:val="0"/>
    <w:pPr>
      <w:widowControl/>
      <w:spacing w:after="720"/>
      <w:jc w:val="right"/>
      <w:outlineLvl w:val="9"/>
    </w:pPr>
    <w:rPr>
      <w:rFonts w:ascii="Arial" w:hAnsi="Arial" w:cs="Times New Roman" w:eastAsiaTheme="minorEastAsia"/>
      <w:bCs w:val="0"/>
      <w:kern w:val="28"/>
      <w:sz w:val="28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liangxianwei</cp:lastModifiedBy>
  <dcterms:modified xsi:type="dcterms:W3CDTF">2017-04-19T16:02:36Z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