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GMF, SO - Landscaping Property Maintenance</w:t>
      </w:r>
    </w:p>
    <w:p>
      <w:pPr>
        <w:pBdr>
          <w:bottom w:val="single" w:color="6ABF1E" w:sz="4"/>
        </w:pBdr>
        <w:spacing w:after="200" w:before="0"/>
      </w:pPr>
    </w:p>
    <w:p>
      <w:pPr>
        <w:spacing w:after="120"/>
      </w:pPr>
      <w:r>
        <w:rPr>
          <w:rFonts w:ascii="Arial" w:cs="Arial" w:eastAsia="Arial" w:hAnsi="Arial"/>
          <w:color w:val="FFFFFF"/>
          <w:sz w:val="24"/>
          <w:szCs w:val="24"/>
        </w:rPr>
        <w:t xml:space="preserve">Agency: AGRICULTURE, DEPARTMENT OF</w:t>
      </w:r>
      <w:r>
        <w:rPr>
          <w:rFonts w:ascii="Arial" w:cs="Arial" w:eastAsia="Arial" w:hAnsi="Arial"/>
          <w:color w:val="FFFFFF"/>
          <w:sz w:val="24"/>
          <w:szCs w:val="24"/>
        </w:rPr>
        <w:t xml:space="preserve">   |   Due: 2026-04-27</w:t>
      </w:r>
      <w:r>
        <w:rPr>
          <w:rFonts w:ascii="Arial" w:cs="Arial" w:eastAsia="Arial" w:hAnsi="Arial"/>
          <w:color w:val="FFFFFF"/>
          <w:sz w:val="24"/>
          <w:szCs w:val="24"/>
        </w:rPr>
        <w:t xml:space="preserve">   |   Solicitation: 12444326Q0015</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PLACEHOLDER_UEI  |  CAGE: PLACEHOLDER_CAGE</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GMF, SO - Landscaping Property Maintenance</w:t>
      </w:r>
    </w:p>
    <w:p>
      <w:pPr>
        <w:spacing w:after="60" w:before="60"/>
      </w:pPr>
    </w:p>
    <w:p>
      <w:pPr>
        <w:spacing w:after="60" w:before="60"/>
      </w:pPr>
      <w:r>
        <w:rPr>
          <w:rFonts w:ascii="Arial" w:cs="Arial" w:eastAsia="Arial" w:hAnsi="Arial"/>
          <w:color w:val="FFFFFF"/>
          <w:sz w:val="24"/>
          <w:szCs w:val="24"/>
        </w:rPr>
        <w:t xml:space="preserve">_Generated: 2026-04-28T09:48:23.893Z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Z4WKS4U8ENJ6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93AV8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AGRICULTURE, DEPARTMENT OF's requirement for GMF, SO - Landscaping Property Maintenance. As a certified DBE/SBA/Minority-Owned Small Business, Rare Earth brings proven capability in pressure washing, pressure washing with $529,200+ in past contract value. Our approach emphasizes rapid mobilization, documented quality control, and direct owner oversight — Eric White, Owner/PM, serves as the single point of contact for all contract activities. We have identified 7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pressure washing methodology is structured around a three-phase execution model designed to ensure consistent, high-quality results across all surfaces specified in the solicitation (Solicitation: Evaluation.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Phase 1 — Pre-Wash Assessment:</w:t>
      </w:r>
      <w:r>
        <w:rPr>
          <w:rFonts w:ascii="Arial" w:cs="Arial" w:eastAsia="Arial" w:hAnsi="Arial"/>
          <w:color w:val="FFFFFF"/>
          <w:sz w:val="24"/>
          <w:szCs w:val="24"/>
        </w:rPr>
        <w:t xml:space="preserve"> Prior to mobilization, our crew lead conducts a surface-by-surface assessment documenting substrate type (concrete, brick, EIFS, membrane), staining severity (light/moderate/heavy), and access requirements. This assessment drives chemical selection, pressure settings, and time estimates. Photo documentation is captured at baseline for before/after comparison.</w:t>
      </w:r>
    </w:p>
    <w:p>
      <w:pPr>
        <w:spacing w:after="60" w:before="60"/>
      </w:pPr>
    </w:p>
    <w:p>
      <w:pPr>
        <w:spacing w:after="60" w:before="60"/>
      </w:pPr>
      <w:r>
        <w:rPr>
          <w:rFonts w:ascii="Arial" w:cs="Arial" w:eastAsia="Arial" w:hAnsi="Arial"/>
          <w:b/>
          <w:bCs/>
          <w:color w:val="FFFFFF"/>
          <w:sz w:val="24"/>
          <w:szCs w:val="24"/>
        </w:rPr>
        <w:t xml:space="preserve">Phase 2 — Chemical Application &amp; Wash:</w:t>
      </w:r>
      <w:r>
        <w:rPr>
          <w:rFonts w:ascii="Arial" w:cs="Arial" w:eastAsia="Arial" w:hAnsi="Arial"/>
          <w:color w:val="FFFFFF"/>
          <w:sz w:val="24"/>
          <w:szCs w:val="24"/>
        </w:rPr>
        <w:t xml:space="preserve"> We use sodium hypochlorite-based solutions for organic growth (mold, mildew, algae) and proprietary degreasers for petroleum staining. Soft-wash technique (under 500 PSI) is applied to painted surfaces, EIFS, and roofing membranes. Standard concrete and masonry receives 2,500–4,000 PSI treatment with appropriate tip selection. Surface cleaners are deployed for parking decks, sidewalks, and large slabs to ensure uniform cleaning and reduce cycle time by 40%.</w:t>
      </w:r>
    </w:p>
    <w:p>
      <w:pPr>
        <w:spacing w:after="60" w:before="60"/>
      </w:pPr>
    </w:p>
    <w:p>
      <w:pPr>
        <w:spacing w:after="60" w:before="60"/>
      </w:pPr>
      <w:r>
        <w:rPr>
          <w:rFonts w:ascii="Arial" w:cs="Arial" w:eastAsia="Arial" w:hAnsi="Arial"/>
          <w:b/>
          <w:bCs/>
          <w:color w:val="FFFFFF"/>
          <w:sz w:val="24"/>
          <w:szCs w:val="24"/>
        </w:rPr>
        <w:t xml:space="preserve">Phase 3 — Rinse, Containment &amp; Documentation:</w:t>
      </w:r>
      <w:r>
        <w:rPr>
          <w:rFonts w:ascii="Arial" w:cs="Arial" w:eastAsia="Arial" w:hAnsi="Arial"/>
          <w:color w:val="FFFFFF"/>
          <w:sz w:val="24"/>
          <w:szCs w:val="24"/>
        </w:rPr>
        <w:t xml:space="preserve"> Final rinse removes all chemical residue. Wastewater containment follows EPA stormwater BMPs — we deploy berms and vacuum recovery on sensitive sites. Completion photos are timestamped and GPS-tagged. A punch-list walkthrough with the COR confirms acceptance before demobilization.</w:t>
      </w:r>
    </w:p>
    <w:p>
      <w:pPr>
        <w:spacing w:after="60" w:before="60"/>
      </w:pPr>
    </w:p>
    <w:p>
      <w:pPr>
        <w:spacing w:after="60" w:before="60"/>
      </w:pPr>
      <w:r>
        <w:rPr>
          <w:rFonts w:ascii="Arial" w:cs="Arial" w:eastAsia="Arial" w:hAnsi="Arial"/>
          <w:b/>
          <w:bCs/>
          <w:color w:val="FFFFFF"/>
          <w:sz w:val="24"/>
          <w:szCs w:val="24"/>
        </w:rPr>
        <w:t xml:space="preserve">Compliance Notes:</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r>
        <w:rPr>
          <w:rFonts w:ascii="Arial" w:cs="Arial" w:eastAsia="Arial" w:hAnsi="Arial"/>
          <w:b/>
          <w:bCs/>
          <w:color w:val="FFFFFF"/>
          <w:sz w:val="24"/>
          <w:szCs w:val="24"/>
        </w:rPr>
        <w:t xml:space="preserve">Equipment:</w:t>
      </w:r>
      <w:r>
        <w:rPr>
          <w:rFonts w:ascii="Arial" w:cs="Arial" w:eastAsia="Arial" w:hAnsi="Arial"/>
          <w:color w:val="FFFFFF"/>
          <w:sz w:val="24"/>
          <w:szCs w:val="24"/>
        </w:rPr>
        <w:t xml:space="preserve"> Commercial 4,000 PSI hot/cold units, 12V soft-wash systems, flat-surface cleaners, chemical injection systems, wastewater containment berms, and PPE per OSHA 1926.</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MBE/DBE teaming advantage — Rare Earth's minority certification adds value as either prime or team member. Consider joint venture if scope exceeds solo capacity.</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holds 4 contracts totaling $529,200+. While no contracts are an exact scope match, the following demonstrate transferable capability in project execution, logistics, and facility services: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Facility &amp; Grounds – Integrated Recycling &amp; Sustainability in Facility Maintenance</w:t>
      </w:r>
      <w:r>
        <w:rPr>
          <w:rFonts w:ascii="Arial" w:cs="Arial" w:eastAsia="Arial" w:hAnsi="Arial"/>
          <w:color w:val="FFFFFF"/>
          <w:sz w:val="24"/>
          <w:szCs w:val="24"/>
        </w:rPr>
        <w:t xml:space="preserve"> — MCS Chainstore Maintenance, $50,000, Subcontractor, ongoing–ongoing. Serviced 30+ facilities; Implemented sustainable debris recycling; Grounds Maintenance for 3+ Facilities.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r>
        <w:rPr>
          <w:rFonts w:ascii="Arial" w:cs="Arial" w:eastAsia="Arial" w:hAnsi="Arial"/>
          <w:b/>
          <w:bCs/>
          <w:color w:val="FFFFFF"/>
          <w:sz w:val="24"/>
          <w:szCs w:val="24"/>
        </w:rPr>
        <w:t xml:space="preserve">Applicable Requirements:</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Pricing for pressure washing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Arial" w:cs="Arial" w:eastAsia="Arial" w:hAnsi="Arial"/>
          <w:b/>
          <w:bCs/>
          <w:color w:val="FFFFFF"/>
          <w:sz w:val="24"/>
          <w:szCs w:val="24"/>
        </w:rPr>
        <w:t xml:space="preserve">Cost Basis by Service:</w:t>
      </w:r>
    </w:p>
    <w:p>
      <w:pPr>
        <w:pStyle w:val="ListParagraph"/>
        <w:numPr>
          <w:ilvl w:val="0"/>
          <w:numId w:val="1"/>
        </w:numPr>
        <w:spacing w:after="60" w:before="60"/>
      </w:pPr>
      <w:r>
        <w:rPr>
          <w:rFonts w:ascii="Arial" w:cs="Arial" w:eastAsia="Arial" w:hAnsi="Arial"/>
          <w:b/>
          <w:bCs/>
          <w:color w:val="FFFFFF"/>
          <w:sz w:val="24"/>
          <w:szCs w:val="24"/>
        </w:rPr>
        <w:t xml:space="preserve">pressure washing (commercial lot):</w:t>
      </w:r>
      <w:r>
        <w:rPr>
          <w:rFonts w:ascii="Arial" w:cs="Arial" w:eastAsia="Arial" w:hAnsi="Arial"/>
          <w:color w:val="FFFFFF"/>
          <w:sz w:val="24"/>
          <w:szCs w:val="24"/>
        </w:rPr>
        <w:t xml:space="preserve"> Labor: $238 (8 crew-hrs × burdened rate), Materials: $65, Fuel/mobilization: $23, Overhead: $75 — Cost floor: $501 (20% margin target)</w:t>
      </w:r>
    </w:p>
    <w:p>
      <w:pPr>
        <w:pStyle w:val="ListParagraph"/>
        <w:numPr>
          <w:ilvl w:val="0"/>
          <w:numId w:val="1"/>
        </w:numPr>
        <w:spacing w:after="60" w:before="60"/>
      </w:pPr>
      <w:r>
        <w:rPr>
          <w:rFonts w:ascii="Arial" w:cs="Arial" w:eastAsia="Arial" w:hAnsi="Arial"/>
          <w:b/>
          <w:bCs/>
          <w:color w:val="FFFFFF"/>
          <w:sz w:val="24"/>
          <w:szCs w:val="24"/>
        </w:rPr>
        <w:t xml:space="preserve">pressure washing (deck patio):</w:t>
      </w:r>
      <w:r>
        <w:rPr>
          <w:rFonts w:ascii="Arial" w:cs="Arial" w:eastAsia="Arial" w:hAnsi="Arial"/>
          <w:color w:val="FFFFFF"/>
          <w:sz w:val="24"/>
          <w:szCs w:val="24"/>
        </w:rPr>
        <w:t xml:space="preserve"> Labor: $119 (4 crew-hrs × burdened rate), Materials: $65, Fuel/mobilization: $23, Overhead: $75 — Cost floor: $353 (20% margin target)</w:t>
      </w:r>
    </w:p>
    <w:p>
      <w:pPr>
        <w:spacing w:after="60" w:before="60"/>
      </w:pPr>
    </w:p>
    <w:p>
      <w:pPr>
        <w:spacing w:after="60" w:before="60"/>
      </w:pPr>
      <w:r>
        <w:rPr>
          <w:rFonts w:ascii="Arial" w:cs="Arial" w:eastAsia="Arial" w:hAnsi="Arial"/>
          <w:color w:val="FFFFFF"/>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6ABF1E"/>
          </w:tcPr>
          <w:p>
            <w:r>
              <w:rPr>
                <w:rFonts w:ascii="Arial" w:cs="Arial" w:eastAsia="Arial" w:hAnsi="Arial"/>
                <w:b/>
                <w:bCs/>
                <w:color w:val="000000"/>
                <w:sz w:val="22"/>
                <w:szCs w:val="22"/>
              </w:rPr>
              <w:t xml:space="preserve">REQ-ID</w:t>
            </w:r>
          </w:p>
        </w:tc>
        <w:tc>
          <w:tcPr>
            <w:tcW w:type="dxa" w:w="1800"/>
            <w:shd w:fill="6ABF1E"/>
          </w:tcPr>
          <w:p>
            <w:r>
              <w:rPr>
                <w:rFonts w:ascii="Arial" w:cs="Arial" w:eastAsia="Arial" w:hAnsi="Arial"/>
                <w:b/>
                <w:bCs/>
                <w:color w:val="000000"/>
                <w:sz w:val="22"/>
                <w:szCs w:val="22"/>
              </w:rPr>
              <w:t xml:space="preserve">Requirement</w:t>
            </w:r>
          </w:p>
        </w:tc>
        <w:tc>
          <w:tcPr>
            <w:tcW w:type="dxa" w:w="1800"/>
            <w:shd w:fill="6ABF1E"/>
          </w:tcPr>
          <w:p>
            <w:r>
              <w:rPr>
                <w:rFonts w:ascii="Arial" w:cs="Arial" w:eastAsia="Arial" w:hAnsi="Arial"/>
                <w:b/>
                <w:bCs/>
                <w:color w:val="000000"/>
                <w:sz w:val="22"/>
                <w:szCs w:val="22"/>
              </w:rPr>
              <w:t xml:space="preserve">Proposal Section</w:t>
            </w:r>
          </w:p>
        </w:tc>
        <w:tc>
          <w:tcPr>
            <w:tcW w:type="dxa" w:w="1800"/>
            <w:shd w:fill="6ABF1E"/>
          </w:tcPr>
          <w:p>
            <w:r>
              <w:rPr>
                <w:rFonts w:ascii="Arial" w:cs="Arial" w:eastAsia="Arial" w:hAnsi="Arial"/>
                <w:b/>
                <w:bCs/>
                <w:color w:val="000000"/>
                <w:sz w:val="22"/>
                <w:szCs w:val="22"/>
              </w:rPr>
              <w:t xml:space="preserve">Risk</w:t>
            </w:r>
          </w:p>
        </w:tc>
        <w:tc>
          <w:tcPr>
            <w:tcW w:type="dxa" w:w="1800"/>
            <w:shd w:fill="6ABF1E"/>
          </w:tcPr>
          <w:p>
            <w:r>
              <w:rPr>
                <w:rFonts w:ascii="Arial" w:cs="Arial" w:eastAsia="Arial" w:hAnsi="Arial"/>
                <w:b/>
                <w:bCs/>
                <w:color w:val="000000"/>
                <w:sz w:val="22"/>
                <w:szCs w:val="22"/>
              </w:rPr>
              <w:t xml:space="preserve">Status</w:t>
            </w:r>
          </w:p>
        </w:tc>
      </w:tr>
      <w:tr>
        <w:tc>
          <w:tcPr>
            <w:tcW w:type="dxa" w:w="1800"/>
            <w:shd w:fill="1C1C1C"/>
          </w:tcPr>
          <w:p>
            <w:r>
              <w:rPr>
                <w:rFonts w:ascii="Arial" w:cs="Arial" w:eastAsia="Arial" w:hAnsi="Arial"/>
                <w:b w:val="false"/>
                <w:bCs w:val="false"/>
                <w:color w:val="FFFFFF"/>
                <w:sz w:val="22"/>
                <w:szCs w:val="22"/>
              </w:rPr>
              <w:t xml:space="preserve">REQ-001</w:t>
            </w:r>
          </w:p>
        </w:tc>
        <w:tc>
          <w:tcPr>
            <w:tcW w:type="dxa" w:w="1800"/>
            <w:shd w:fill="1C1C1C"/>
          </w:tcPr>
          <w:p>
            <w:r>
              <w:rPr>
                <w:rFonts w:ascii="Arial" w:cs="Arial" w:eastAsia="Arial" w:hAnsi="Arial"/>
                <w:b w:val="false"/>
                <w:bCs w:val="false"/>
                <w:color w:val="FFFFFF"/>
                <w:sz w:val="22"/>
                <w:szCs w:val="22"/>
              </w:rPr>
              <w:t xml:space="preserve">Solicitation: Evaluation</w:t>
            </w:r>
          </w:p>
        </w:tc>
        <w:tc>
          <w:tcPr>
            <w:tcW w:type="dxa" w:w="1800"/>
            <w:shd w:fill="1C1C1C"/>
          </w:tcPr>
          <w:p>
            <w:r>
              <w:rPr>
                <w:rFonts w:ascii="Arial" w:cs="Arial" w:eastAsia="Arial" w:hAnsi="Arial"/>
                <w:b w:val="false"/>
                <w:bCs w:val="false"/>
                <w:color w:val="FFFFFF"/>
                <w:sz w:val="22"/>
                <w:szCs w:val="22"/>
              </w:rPr>
              <w:t xml:space="preserve">Cover Page</w:t>
            </w:r>
          </w:p>
        </w:tc>
        <w:tc>
          <w:tcPr>
            <w:tcW w:type="dxa" w:w="1800"/>
            <w:shd w:fill="1C1C1C"/>
          </w:tcPr>
          <w:p>
            <w:r>
              <w:rPr>
                <w:rFonts w:ascii="Arial" w:cs="Arial" w:eastAsia="Arial" w:hAnsi="Arial"/>
                <w:b w:val="false"/>
                <w:bCs w:val="false"/>
                <w:color w:val="FFFFFF"/>
                <w:sz w:val="22"/>
                <w:szCs w:val="22"/>
              </w:rPr>
              <w:t xml:space="preserve">low</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REQ-002</w:t>
            </w:r>
          </w:p>
        </w:tc>
        <w:tc>
          <w:tcPr>
            <w:tcW w:type="dxa" w:w="1800"/>
            <w:shd w:fill="222222"/>
          </w:tcPr>
          <w:p>
            <w:r>
              <w:rPr>
                <w:rFonts w:ascii="Arial" w:cs="Arial" w:eastAsia="Arial" w:hAnsi="Arial"/>
                <w:b w:val="false"/>
                <w:bCs w:val="false"/>
                <w:color w:val="FFFFFF"/>
                <w:sz w:val="22"/>
                <w:szCs w:val="22"/>
              </w:rPr>
              <w:t xml:space="preserve">Pricing Form: and Locations List – Pressure Washing Services</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REQ-003</w:t>
            </w:r>
          </w:p>
        </w:tc>
        <w:tc>
          <w:tcPr>
            <w:tcW w:type="dxa" w:w="1800"/>
            <w:shd w:fill="1C1C1C"/>
          </w:tcPr>
          <w:p>
            <w:r>
              <w:rPr>
                <w:rFonts w:ascii="Arial" w:cs="Arial" w:eastAsia="Arial" w:hAnsi="Arial"/>
                <w:b w:val="false"/>
                <w:bCs w:val="false"/>
                <w:color w:val="FFFFFF"/>
                <w:sz w:val="22"/>
                <w:szCs w:val="22"/>
              </w:rPr>
              <w:t xml:space="preserve">E-Verify enrollment required</w:t>
            </w:r>
          </w:p>
        </w:tc>
        <w:tc>
          <w:tcPr>
            <w:tcW w:type="dxa" w:w="1800"/>
            <w:shd w:fill="1C1C1C"/>
          </w:tcPr>
          <w:p>
            <w:r>
              <w:rPr>
                <w:rFonts w:ascii="Arial" w:cs="Arial" w:eastAsia="Arial" w:hAnsi="Arial"/>
                <w:b w:val="false"/>
                <w:bCs w:val="false"/>
                <w:color w:val="FFFFFF"/>
                <w:sz w:val="22"/>
                <w:szCs w:val="22"/>
              </w:rPr>
              <w:t xml:space="preserve">Labor</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REQ-004</w:t>
            </w:r>
          </w:p>
        </w:tc>
        <w:tc>
          <w:tcPr>
            <w:tcW w:type="dxa" w:w="1800"/>
            <w:shd w:fill="222222"/>
          </w:tcPr>
          <w:p>
            <w:r>
              <w:rPr>
                <w:rFonts w:ascii="Arial" w:cs="Arial" w:eastAsia="Arial" w:hAnsi="Arial"/>
                <w:b w:val="false"/>
                <w:bCs w:val="false"/>
                <w:color w:val="FFFFFF"/>
                <w:sz w:val="22"/>
                <w:szCs w:val="22"/>
              </w:rPr>
              <w:t xml:space="preserve">Commercial General Liability (see amounts in doc)</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REQ-005</w:t>
            </w:r>
          </w:p>
        </w:tc>
        <w:tc>
          <w:tcPr>
            <w:tcW w:type="dxa" w:w="1800"/>
            <w:shd w:fill="1C1C1C"/>
          </w:tcPr>
          <w:p>
            <w:r>
              <w:rPr>
                <w:rFonts w:ascii="Arial" w:cs="Arial" w:eastAsia="Arial" w:hAnsi="Arial"/>
                <w:b w:val="false"/>
                <w:bCs w:val="false"/>
                <w:color w:val="FFFFFF"/>
                <w:sz w:val="22"/>
                <w:szCs w:val="22"/>
              </w:rPr>
              <w:t xml:space="preserve">Automobile Liability (see amounts in doc)</w:t>
            </w:r>
          </w:p>
        </w:tc>
        <w:tc>
          <w:tcPr>
            <w:tcW w:type="dxa" w:w="1800"/>
            <w:shd w:fill="1C1C1C"/>
          </w:tcPr>
          <w:p>
            <w:r>
              <w:rPr>
                <w:rFonts w:ascii="Arial" w:cs="Arial" w:eastAsia="Arial" w:hAnsi="Arial"/>
                <w:b w:val="false"/>
                <w:bCs w:val="false"/>
                <w:color w:val="FFFFFF"/>
                <w:sz w:val="22"/>
                <w:szCs w:val="22"/>
              </w:rPr>
              <w:t xml:space="preserve">Insurance/Bonding</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REQ-006</w:t>
            </w:r>
          </w:p>
        </w:tc>
        <w:tc>
          <w:tcPr>
            <w:tcW w:type="dxa" w:w="1800"/>
            <w:shd w:fill="222222"/>
          </w:tcPr>
          <w:p>
            <w:r>
              <w:rPr>
                <w:rFonts w:ascii="Arial" w:cs="Arial" w:eastAsia="Arial" w:hAnsi="Arial"/>
                <w:b w:val="false"/>
                <w:bCs w:val="false"/>
                <w:color w:val="FFFFFF"/>
                <w:sz w:val="22"/>
                <w:szCs w:val="22"/>
              </w:rPr>
              <w:t xml:space="preserve">Workers Comp: the statutory limitsestablished by the General</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REQ-007</w:t>
            </w:r>
          </w:p>
        </w:tc>
        <w:tc>
          <w:tcPr>
            <w:tcW w:type="dxa" w:w="1800"/>
            <w:shd w:fill="1C1C1C"/>
          </w:tcPr>
          <w:p>
            <w:r>
              <w:rPr>
                <w:rFonts w:ascii="Arial" w:cs="Arial" w:eastAsia="Arial" w:hAnsi="Arial"/>
                <w:b w:val="false"/>
                <w:bCs w:val="false"/>
                <w:color w:val="FFFFFF"/>
                <w:sz w:val="22"/>
                <w:szCs w:val="22"/>
              </w:rPr>
              <w:t xml:space="preserve">Background Checks: background checks on personnel</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REQ-008</w:t>
            </w:r>
          </w:p>
        </w:tc>
        <w:tc>
          <w:tcPr>
            <w:tcW w:type="dxa" w:w="1800"/>
            <w:shd w:fill="222222"/>
          </w:tcPr>
          <w:p>
            <w:r>
              <w:rPr>
                <w:rFonts w:ascii="Arial" w:cs="Arial" w:eastAsia="Arial" w:hAnsi="Arial"/>
                <w:b w:val="false"/>
                <w:bCs w:val="false"/>
                <w:color w:val="FFFFFF"/>
                <w:sz w:val="22"/>
                <w:szCs w:val="22"/>
              </w:rPr>
              <w:t xml:space="preserve">Standard Form: 144</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REQ-009</w:t>
            </w:r>
          </w:p>
        </w:tc>
        <w:tc>
          <w:tcPr>
            <w:tcW w:type="dxa" w:w="1800"/>
            <w:shd w:fill="1C1C1C"/>
          </w:tcPr>
          <w:p>
            <w:r>
              <w:rPr>
                <w:rFonts w:ascii="Arial" w:cs="Arial" w:eastAsia="Arial" w:hAnsi="Arial"/>
                <w:b w:val="false"/>
                <w:bCs w:val="false"/>
                <w:color w:val="FFFFFF"/>
                <w:sz w:val="22"/>
                <w:szCs w:val="22"/>
              </w:rPr>
              <w:t xml:space="preserve">Technical Approach: Technical Approach:The technical approac</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REQ-010</w:t>
            </w:r>
          </w:p>
        </w:tc>
        <w:tc>
          <w:tcPr>
            <w:tcW w:type="dxa" w:w="1800"/>
            <w:shd w:fill="222222"/>
          </w:tcPr>
          <w:p>
            <w:r>
              <w:rPr>
                <w:rFonts w:ascii="Arial" w:cs="Arial" w:eastAsia="Arial" w:hAnsi="Arial"/>
                <w:b w:val="false"/>
                <w:bCs w:val="false"/>
                <w:color w:val="FFFFFF"/>
                <w:sz w:val="22"/>
                <w:szCs w:val="22"/>
              </w:rPr>
              <w:t xml:space="preserve">FAR 52.212-1</w:t>
            </w:r>
          </w:p>
        </w:tc>
        <w:tc>
          <w:tcPr>
            <w:tcW w:type="dxa" w:w="1800"/>
            <w:shd w:fill="222222"/>
          </w:tcPr>
          <w:p>
            <w:r>
              <w:rPr>
                <w:rFonts w:ascii="Arial" w:cs="Arial" w:eastAsia="Arial" w:hAnsi="Arial"/>
                <w:b w:val="false"/>
                <w:bCs w:val="false"/>
                <w:color w:val="FFFFFF"/>
                <w:sz w:val="22"/>
                <w:szCs w:val="22"/>
              </w:rPr>
              <w:t xml:space="preserve">FAR Clauses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REQ-011</w:t>
            </w:r>
          </w:p>
        </w:tc>
        <w:tc>
          <w:tcPr>
            <w:tcW w:type="dxa" w:w="1800"/>
            <w:shd w:fill="1C1C1C"/>
          </w:tcPr>
          <w:p>
            <w:r>
              <w:rPr>
                <w:rFonts w:ascii="Arial" w:cs="Arial" w:eastAsia="Arial" w:hAnsi="Arial"/>
                <w:b w:val="false"/>
                <w:bCs w:val="false"/>
                <w:color w:val="FFFFFF"/>
                <w:sz w:val="22"/>
                <w:szCs w:val="22"/>
              </w:rPr>
              <w:t xml:space="preserve">FAR 52.212-3</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REQ-012</w:t>
            </w:r>
          </w:p>
        </w:tc>
        <w:tc>
          <w:tcPr>
            <w:tcW w:type="dxa" w:w="1800"/>
            <w:shd w:fill="222222"/>
          </w:tcPr>
          <w:p>
            <w:r>
              <w:rPr>
                <w:rFonts w:ascii="Arial" w:cs="Arial" w:eastAsia="Arial" w:hAnsi="Arial"/>
                <w:b w:val="false"/>
                <w:bCs w:val="false"/>
                <w:color w:val="FFFFFF"/>
                <w:sz w:val="22"/>
                <w:szCs w:val="22"/>
              </w:rPr>
              <w:t xml:space="preserve">FAR 52.212-4</w:t>
            </w:r>
          </w:p>
        </w:tc>
        <w:tc>
          <w:tcPr>
            <w:tcW w:type="dxa" w:w="1800"/>
            <w:shd w:fill="222222"/>
          </w:tcPr>
          <w:p>
            <w:r>
              <w:rPr>
                <w:rFonts w:ascii="Arial" w:cs="Arial" w:eastAsia="Arial" w:hAnsi="Arial"/>
                <w:b w:val="false"/>
                <w:bCs w:val="false"/>
                <w:color w:val="FFFFFF"/>
                <w:sz w:val="22"/>
                <w:szCs w:val="22"/>
              </w:rPr>
              <w:t xml:space="preserve">FAR Clauses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REQ-013</w:t>
            </w:r>
          </w:p>
        </w:tc>
        <w:tc>
          <w:tcPr>
            <w:tcW w:type="dxa" w:w="1800"/>
            <w:shd w:fill="1C1C1C"/>
          </w:tcPr>
          <w:p>
            <w:r>
              <w:rPr>
                <w:rFonts w:ascii="Arial" w:cs="Arial" w:eastAsia="Arial" w:hAnsi="Arial"/>
                <w:b w:val="false"/>
                <w:bCs w:val="false"/>
                <w:color w:val="FFFFFF"/>
                <w:sz w:val="22"/>
                <w:szCs w:val="22"/>
              </w:rPr>
              <w:t xml:space="preserve">FAR 52.212-5</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REQ-014</w:t>
            </w:r>
          </w:p>
        </w:tc>
        <w:tc>
          <w:tcPr>
            <w:tcW w:type="dxa" w:w="1800"/>
            <w:shd w:fill="222222"/>
          </w:tcPr>
          <w:p>
            <w:r>
              <w:rPr>
                <w:rFonts w:ascii="Arial" w:cs="Arial" w:eastAsia="Arial" w:hAnsi="Arial"/>
                <w:b w:val="false"/>
                <w:bCs w:val="false"/>
                <w:color w:val="FFFFFF"/>
                <w:sz w:val="22"/>
                <w:szCs w:val="22"/>
              </w:rPr>
              <w:t xml:space="preserve">MBE/DBE participation goal</w:t>
            </w:r>
          </w:p>
        </w:tc>
        <w:tc>
          <w:tcPr>
            <w:tcW w:type="dxa" w:w="1800"/>
            <w:shd w:fill="222222"/>
          </w:tcPr>
          <w:p>
            <w:r>
              <w:rPr>
                <w:rFonts w:ascii="Arial" w:cs="Arial" w:eastAsia="Arial" w:hAnsi="Arial"/>
                <w:b w:val="false"/>
                <w:bCs w:val="false"/>
                <w:color w:val="FFFFFF"/>
                <w:sz w:val="22"/>
                <w:szCs w:val="22"/>
              </w:rPr>
              <w:t xml:space="preserve">Certifications</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eric@rareearthcontracting.com  |  (555) 000-0000</w:t>
    </w:r>
  </w:p>
  <w:p>
    <w:pPr>
      <w:spacing w:after="80"/>
      <w:jc w:val="right"/>
    </w:pPr>
    <w:r>
      <w:rPr>
        <w:rFonts w:ascii="Arial" w:cs="Arial" w:eastAsia="Arial" w:hAnsi="Arial"/>
        <w:color w:val="AAAAAA"/>
        <w:sz w:val="18"/>
        <w:szCs w:val="18"/>
      </w:rPr>
      <w:t xml:space="preserve">UEI: PLACEHOLDER_UEI  |  CAGE: PLACEHOLDER_CAGE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2026-04-28T09:48:25.328Z</dcterms:created>
  <dcterms:modified xsi:type="dcterms:W3CDTF">2026-04-28T09:48:25.328Z</dcterms:modified>
</cp:coreProperties>
</file>

<file path=docProps/custom.xml><?xml version="1.0" encoding="utf-8"?>
<Properties xmlns="http://schemas.openxmlformats.org/officeDocument/2006/custom-properties" xmlns:vt="http://schemas.openxmlformats.org/officeDocument/2006/docPropsVTypes"/>
</file>