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PE-64750-NONST-2026-000000186	Bid Ref. #26-048 Rental Unit Mowing	Albany, City Of</w:t>
      </w:r>
    </w:p>
    <w:p>
      <w:pPr>
        <w:pBdr>
          <w:bottom w:val="single" w:color="6ABF1E" w:sz="4"/>
        </w:pBdr>
        <w:spacing w:after="200" w:before="0"/>
      </w:pPr>
    </w:p>
    <w:p>
      <w:pPr>
        <w:spacing w:after="120"/>
      </w:pPr>
      <w:r>
        <w:rPr>
          <w:rFonts w:ascii="Arial" w:cs="Arial" w:eastAsia="Arial" w:hAnsi="Arial"/>
          <w:color w:val="FFFFFF"/>
          <w:sz w:val="24"/>
          <w:szCs w:val="24"/>
        </w:rPr>
        <w:t xml:space="preserve">Agency: Georgia Procurement Registry</w:t>
      </w:r>
      <w:r>
        <w:rPr>
          <w:rFonts w:ascii="Arial" w:cs="Arial" w:eastAsia="Arial" w:hAnsi="Arial"/>
          <w:color w:val="FFFFFF"/>
          <w:sz w:val="24"/>
          <w:szCs w:val="24"/>
        </w:rPr>
        <w:t xml:space="preserve">   |   Due: 2026-04-24T11:00:23.274Z</w:t>
      </w:r>
      <w:r>
        <w:rPr>
          <w:rFonts w:ascii="Arial" w:cs="Arial" w:eastAsia="Arial" w:hAnsi="Arial"/>
          <w:color w:val="FFFFFF"/>
          <w:sz w:val="24"/>
          <w:szCs w:val="24"/>
        </w:rPr>
        <w:t xml:space="preserve">   |   Solicitation: GPR-35007</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PE-64750-NONST-2026-000000186	Bid Ref. #26-048 Rental Unit Mowing	Albany, City Of</w:t>
      </w:r>
    </w:p>
    <w:p>
      <w:pPr>
        <w:spacing w:after="60" w:before="60"/>
      </w:pPr>
    </w:p>
    <w:p>
      <w:pPr>
        <w:spacing w:after="60" w:before="60"/>
      </w:pPr>
      <w:r>
        <w:rPr>
          <w:rFonts w:ascii="Arial" w:cs="Arial" w:eastAsia="Arial" w:hAnsi="Arial"/>
          <w:color w:val="FFFFFF"/>
          <w:sz w:val="24"/>
          <w:szCs w:val="24"/>
        </w:rPr>
        <w:t xml:space="preserve">_Generated: 2026-04-27T22:46:17.821Z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Georgia Procurement Registry's requirement for PE-64750-NONST-2026-000000186	Bid Ref. #26-048 Rental Unit Mowing	Albany, City Of.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2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holds 4 contracts totaling $529,200+. While no contracts are an exact scope match, the following demonstrate transferable capability in project execution, logistics, and facility services: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 </w:t>
      </w:r>
      <w:r>
        <w:rPr>
          <w:rFonts w:ascii="Arial" w:cs="Arial" w:eastAsia="Arial" w:hAnsi="Arial"/>
          <w:b/>
          <w:bCs/>
          <w:color w:val="FFFFFF"/>
          <w:sz w:val="24"/>
          <w:szCs w:val="24"/>
        </w:rPr>
        <w:t xml:space="preserve">Recycling &amp; Waste Management – Sustainability and Circular Economy Services</w:t>
      </w:r>
      <w:r>
        <w:rPr>
          <w:rFonts w:ascii="Arial" w:cs="Arial" w:eastAsia="Arial" w:hAnsi="Arial"/>
          <w:color w:val="FFFFFF"/>
          <w:sz w:val="24"/>
          <w:szCs w:val="24"/>
        </w:rPr>
        <w:t xml:space="preserve"> — CheckSammy, $50,000, Subcontractor, ongoing–ongoing. Diverted 100+ tons of waste; Supported ESG tracking; Furthered recycling efforts throughout processes.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2026-04-27T23:46:50.137Z</dcterms:created>
  <dcterms:modified xsi:type="dcterms:W3CDTF">2026-04-27T23:46:50.137Z</dcterms:modified>
</cp:coreProperties>
</file>

<file path=docProps/custom.xml><?xml version="1.0" encoding="utf-8"?>
<Properties xmlns="http://schemas.openxmlformats.org/officeDocument/2006/custom-properties" xmlns:vt="http://schemas.openxmlformats.org/officeDocument/2006/docPropsVTypes"/>
</file>