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Quincy Rec Area Mowing and Custodial Services</w:t>
      </w:r>
    </w:p>
    <w:p>
      <w:pPr>
        <w:pBdr>
          <w:bottom w:val="single" w:color="6ABF1E" w:sz="4"/>
        </w:pBdr>
        <w:spacing w:after="200" w:before="0"/>
      </w:pPr>
    </w:p>
    <w:p>
      <w:pPr>
        <w:spacing w:after="120"/>
      </w:pPr>
      <w:r>
        <w:rPr>
          <w:rFonts w:ascii="Arial" w:cs="Arial" w:eastAsia="Arial" w:hAnsi="Arial"/>
          <w:color w:val="FFFFFF"/>
          <w:sz w:val="24"/>
          <w:szCs w:val="24"/>
        </w:rPr>
        <w:t xml:space="preserve">Agency: DEPT OF DEFENSE</w:t>
      </w:r>
      <w:r>
        <w:rPr>
          <w:rFonts w:ascii="Arial" w:cs="Arial" w:eastAsia="Arial" w:hAnsi="Arial"/>
          <w:color w:val="FFFFFF"/>
          <w:sz w:val="24"/>
          <w:szCs w:val="24"/>
        </w:rPr>
        <w:t xml:space="preserve">   |   Due: 2026-04-28</w:t>
      </w:r>
      <w:r>
        <w:rPr>
          <w:rFonts w:ascii="Arial" w:cs="Arial" w:eastAsia="Arial" w:hAnsi="Arial"/>
          <w:color w:val="FFFFFF"/>
          <w:sz w:val="24"/>
          <w:szCs w:val="24"/>
        </w:rPr>
        <w:t xml:space="preserve">   |   Solicitation: W912EK26CA019</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Quincy Rec Area Mowing and Custodial Services</w:t>
      </w:r>
    </w:p>
    <w:p>
      <w:pPr>
        <w:spacing w:after="60" w:before="60"/>
      </w:pPr>
    </w:p>
    <w:p>
      <w:pPr>
        <w:spacing w:after="60" w:before="60"/>
      </w:pPr>
      <w:r>
        <w:rPr>
          <w:rFonts w:ascii="Arial" w:cs="Arial" w:eastAsia="Arial" w:hAnsi="Arial"/>
          <w:color w:val="FFFFFF"/>
          <w:sz w:val="24"/>
          <w:szCs w:val="24"/>
        </w:rPr>
        <w:t xml:space="preserve">_Generated: 2026-04-27T22:46:43.835Z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DEPT OF DEFENSE's requirement for Quincy Rec Area Mowing and Custodial Services. As a certified DBE/SBA/Minority-Owned Small Business, Rare Earth brings proven capability in pressure washing with $529,200+ in past contract value. Our approach emphasizes rapid mobilization, documented quality control, and direct owner oversight — Eric White, Owner/PM, serves as the single point of contact for all contract activities. We have identified 2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pressure washing methodology is structured around a three-phase execution model designed to ensure consistent, high-quality results across all surfaces specified in the solicitation (Solicitation: Evaluation.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Phase 1 — Pre-Wash Assessment:</w:t>
      </w:r>
      <w:r>
        <w:rPr>
          <w:rFonts w:ascii="Arial" w:cs="Arial" w:eastAsia="Arial" w:hAnsi="Arial"/>
          <w:color w:val="FFFFFF"/>
          <w:sz w:val="24"/>
          <w:szCs w:val="24"/>
        </w:rPr>
        <w:t xml:space="preserve"> Prior to mobilization, our crew lead conducts a surface-by-surface assessment documenting substrate type (concrete, brick, EIFS, membrane), staining severity (light/moderate/heavy), and access requirements. This assessment drives chemical selection, pressure settings, and time estimates. Photo documentation is captured at baseline for before/after comparison.</w:t>
      </w:r>
    </w:p>
    <w:p>
      <w:pPr>
        <w:spacing w:after="60" w:before="60"/>
      </w:pPr>
    </w:p>
    <w:p>
      <w:pPr>
        <w:spacing w:after="60" w:before="60"/>
      </w:pPr>
      <w:r>
        <w:rPr>
          <w:rFonts w:ascii="Arial" w:cs="Arial" w:eastAsia="Arial" w:hAnsi="Arial"/>
          <w:b/>
          <w:bCs/>
          <w:color w:val="FFFFFF"/>
          <w:sz w:val="24"/>
          <w:szCs w:val="24"/>
        </w:rPr>
        <w:t xml:space="preserve">Phase 2 — Chemical Application &amp; Wash:</w:t>
      </w:r>
      <w:r>
        <w:rPr>
          <w:rFonts w:ascii="Arial" w:cs="Arial" w:eastAsia="Arial" w:hAnsi="Arial"/>
          <w:color w:val="FFFFFF"/>
          <w:sz w:val="24"/>
          <w:szCs w:val="24"/>
        </w:rPr>
        <w:t xml:space="preserve"> We use sodium hypochlorite-based solutions for organic growth (mold, mildew, algae) and proprietary degreasers for petroleum staining. Soft-wash technique (under 500 PSI) is applied to painted surfaces, EIFS, and roofing membranes. Standard concrete and masonry receives 2,500–4,000 PSI treatment with appropriate tip selection. Surface cleaners are deployed for parking decks, sidewalks, and large slabs to ensure uniform cleaning and reduce cycle time by 40%.</w:t>
      </w:r>
    </w:p>
    <w:p>
      <w:pPr>
        <w:spacing w:after="60" w:before="60"/>
      </w:pPr>
    </w:p>
    <w:p>
      <w:pPr>
        <w:spacing w:after="60" w:before="60"/>
      </w:pPr>
      <w:r>
        <w:rPr>
          <w:rFonts w:ascii="Arial" w:cs="Arial" w:eastAsia="Arial" w:hAnsi="Arial"/>
          <w:b/>
          <w:bCs/>
          <w:color w:val="FFFFFF"/>
          <w:sz w:val="24"/>
          <w:szCs w:val="24"/>
        </w:rPr>
        <w:t xml:space="preserve">Phase 3 — Rinse, Containment &amp; Documentation:</w:t>
      </w:r>
      <w:r>
        <w:rPr>
          <w:rFonts w:ascii="Arial" w:cs="Arial" w:eastAsia="Arial" w:hAnsi="Arial"/>
          <w:color w:val="FFFFFF"/>
          <w:sz w:val="24"/>
          <w:szCs w:val="24"/>
        </w:rPr>
        <w:t xml:space="preserve"> Final rinse removes all chemical residue. Wastewater containment follows EPA stormwater BMPs — we deploy berms and vacuum recovery on sensitive sites. Completion photos are timestamped and GPS-tagged. A punch-list walkthrough with the COR confirms acceptance before demobilization.</w:t>
      </w:r>
    </w:p>
    <w:p>
      <w:pPr>
        <w:spacing w:after="60" w:before="60"/>
      </w:pPr>
    </w:p>
    <w:p>
      <w:pPr>
        <w:spacing w:after="60" w:before="60"/>
      </w:pPr>
      <w:r>
        <w:rPr>
          <w:rFonts w:ascii="Arial" w:cs="Arial" w:eastAsia="Arial" w:hAnsi="Arial"/>
          <w:b/>
          <w:bCs/>
          <w:color w:val="FFFFFF"/>
          <w:sz w:val="24"/>
          <w:szCs w:val="24"/>
        </w:rPr>
        <w:t xml:space="preserve">Compliance Notes:</w:t>
      </w:r>
      <w:r>
        <w:rPr>
          <w:rFonts w:ascii="Arial" w:cs="Arial" w:eastAsia="Arial" w:hAnsi="Arial"/>
          <w:color w:val="FFFFFF"/>
          <w:sz w:val="24"/>
          <w:szCs w:val="24"/>
        </w:rPr>
        <w:t xml:space="preserve">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Commercial 4,000 PSI hot/cold units, 12V soft-wash systems, flat-surface cleaners, chemical injection systems, wastewater containment berms, and PPE per OSHA 1926.</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Multiple insurance requirements suggest a larger project — verify capacity to self-perform or identify teaming partner for scale.</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holds 4 contracts totaling $529,200+. While no contracts are an exact scope match, the following demonstrate transferable capability in project execution, logistics, and facility services: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 </w:t>
      </w:r>
      <w:r>
        <w:rPr>
          <w:rFonts w:ascii="Arial" w:cs="Arial" w:eastAsia="Arial" w:hAnsi="Arial"/>
          <w:b/>
          <w:bCs/>
          <w:color w:val="FFFFFF"/>
          <w:sz w:val="24"/>
          <w:szCs w:val="24"/>
        </w:rPr>
        <w:t xml:space="preserve">Recycling &amp; Waste Management – Sustainability and Circular Economy Services</w:t>
      </w:r>
      <w:r>
        <w:rPr>
          <w:rFonts w:ascii="Arial" w:cs="Arial" w:eastAsia="Arial" w:hAnsi="Arial"/>
          <w:color w:val="FFFFFF"/>
          <w:sz w:val="24"/>
          <w:szCs w:val="24"/>
        </w:rPr>
        <w:t xml:space="preserve"> — CheckSammy, $50,000, Subcontractor, ongoing–ongoing. Diverted 100+ tons of waste; Supported ESG tracking; Furthered recycling efforts throughout processes.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r>
        <w:rPr>
          <w:rFonts w:ascii="Arial" w:cs="Arial" w:eastAsia="Arial" w:hAnsi="Arial"/>
          <w:b/>
          <w:bCs/>
          <w:color w:val="FFFFFF"/>
          <w:sz w:val="24"/>
          <w:szCs w:val="24"/>
        </w:rPr>
        <w:t xml:space="preserve">Applicable Requirements:</w:t>
      </w:r>
      <w:r>
        <w:rPr>
          <w:rFonts w:ascii="Arial" w:cs="Arial" w:eastAsia="Arial" w:hAnsi="Arial"/>
          <w:color w:val="FFFFFF"/>
          <w:sz w:val="24"/>
          <w:szCs w:val="24"/>
        </w:rPr>
        <w:t xml:space="preserve"> Pricing Form: and Locations List – Pressure Washing Services; E-Verify enrollment required.</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Arial" w:cs="Arial" w:eastAsia="Arial" w:hAnsi="Arial"/>
          <w:b/>
          <w:bCs/>
          <w:color w:val="FFFFFF"/>
          <w:sz w:val="24"/>
          <w:szCs w:val="24"/>
        </w:rPr>
        <w:t xml:space="preserve">Cost Basis by Service:</w:t>
      </w:r>
    </w:p>
    <w:p>
      <w:pPr>
        <w:pStyle w:val="ListParagraph"/>
        <w:numPr>
          <w:ilvl w:val="0"/>
          <w:numId w:val="1"/>
        </w:numPr>
        <w:spacing w:after="60" w:before="60"/>
      </w:pPr>
      <w:r>
        <w:rPr>
          <w:rFonts w:ascii="Arial" w:cs="Arial" w:eastAsia="Arial" w:hAnsi="Arial"/>
          <w:b/>
          <w:bCs/>
          <w:color w:val="FFFFFF"/>
          <w:sz w:val="24"/>
          <w:szCs w:val="24"/>
        </w:rPr>
        <w:t xml:space="preserve">pressure washing (commercial lot):</w:t>
      </w:r>
      <w:r>
        <w:rPr>
          <w:rFonts w:ascii="Arial" w:cs="Arial" w:eastAsia="Arial" w:hAnsi="Arial"/>
          <w:color w:val="FFFFFF"/>
          <w:sz w:val="24"/>
          <w:szCs w:val="24"/>
        </w:rPr>
        <w:t xml:space="preserve"> Labor: $238 (8 crew-hrs × burdened rate), Materials: $65, Fuel/mobilization: $23, Overhead: $75 — Cost floor: $501 (20% margin target)</w:t>
      </w:r>
    </w:p>
    <w:p>
      <w:pPr>
        <w:spacing w:after="60" w:before="60"/>
      </w:pPr>
    </w:p>
    <w:p>
      <w:pPr>
        <w:spacing w:after="60" w:before="60"/>
      </w:pPr>
      <w:r>
        <w:rPr>
          <w:rFonts w:ascii="Arial" w:cs="Arial" w:eastAsia="Arial" w:hAnsi="Arial"/>
          <w:color w:val="FFFFFF"/>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6ABF1E"/>
          </w:tcPr>
          <w:p>
            <w:r>
              <w:rPr>
                <w:rFonts w:ascii="Arial" w:cs="Arial" w:eastAsia="Arial" w:hAnsi="Arial"/>
                <w:b/>
                <w:bCs/>
                <w:color w:val="000000"/>
                <w:sz w:val="22"/>
                <w:szCs w:val="22"/>
              </w:rPr>
              <w:t xml:space="preserve">REQ-ID</w:t>
            </w:r>
          </w:p>
        </w:tc>
        <w:tc>
          <w:tcPr>
            <w:tcW w:type="dxa" w:w="1800"/>
            <w:shd w:fill="6ABF1E"/>
          </w:tcPr>
          <w:p>
            <w:r>
              <w:rPr>
                <w:rFonts w:ascii="Arial" w:cs="Arial" w:eastAsia="Arial" w:hAnsi="Arial"/>
                <w:b/>
                <w:bCs/>
                <w:color w:val="000000"/>
                <w:sz w:val="22"/>
                <w:szCs w:val="22"/>
              </w:rPr>
              <w:t xml:space="preserve">Requirement</w:t>
            </w:r>
          </w:p>
        </w:tc>
        <w:tc>
          <w:tcPr>
            <w:tcW w:type="dxa" w:w="1800"/>
            <w:shd w:fill="6ABF1E"/>
          </w:tcPr>
          <w:p>
            <w:r>
              <w:rPr>
                <w:rFonts w:ascii="Arial" w:cs="Arial" w:eastAsia="Arial" w:hAnsi="Arial"/>
                <w:b/>
                <w:bCs/>
                <w:color w:val="000000"/>
                <w:sz w:val="22"/>
                <w:szCs w:val="22"/>
              </w:rPr>
              <w:t xml:space="preserve">Proposal Section</w:t>
            </w:r>
          </w:p>
        </w:tc>
        <w:tc>
          <w:tcPr>
            <w:tcW w:type="dxa" w:w="1800"/>
            <w:shd w:fill="6ABF1E"/>
          </w:tcPr>
          <w:p>
            <w:r>
              <w:rPr>
                <w:rFonts w:ascii="Arial" w:cs="Arial" w:eastAsia="Arial" w:hAnsi="Arial"/>
                <w:b/>
                <w:bCs/>
                <w:color w:val="000000"/>
                <w:sz w:val="22"/>
                <w:szCs w:val="22"/>
              </w:rPr>
              <w:t xml:space="preserve">Risk</w:t>
            </w:r>
          </w:p>
        </w:tc>
        <w:tc>
          <w:tcPr>
            <w:tcW w:type="dxa" w:w="1800"/>
            <w:shd w:fill="6ABF1E"/>
          </w:tcPr>
          <w:p>
            <w:r>
              <w:rPr>
                <w:rFonts w:ascii="Arial" w:cs="Arial" w:eastAsia="Arial" w:hAnsi="Arial"/>
                <w:b/>
                <w:bCs/>
                <w:color w:val="000000"/>
                <w:sz w:val="22"/>
                <w:szCs w:val="22"/>
              </w:rPr>
              <w:t xml:space="preserve">Status</w:t>
            </w:r>
          </w:p>
        </w:tc>
      </w:tr>
      <w:tr>
        <w:tc>
          <w:tcPr>
            <w:tcW w:type="dxa" w:w="1800"/>
            <w:shd w:fill="1C1C1C"/>
          </w:tcPr>
          <w:p>
            <w:r>
              <w:rPr>
                <w:rFonts w:ascii="Arial" w:cs="Arial" w:eastAsia="Arial" w:hAnsi="Arial"/>
                <w:b w:val="false"/>
                <w:bCs w:val="false"/>
                <w:color w:val="FFFFFF"/>
                <w:sz w:val="22"/>
                <w:szCs w:val="22"/>
              </w:rPr>
              <w:t xml:space="preserve">REQ-001</w:t>
            </w:r>
          </w:p>
        </w:tc>
        <w:tc>
          <w:tcPr>
            <w:tcW w:type="dxa" w:w="1800"/>
            <w:shd w:fill="1C1C1C"/>
          </w:tcPr>
          <w:p>
            <w:r>
              <w:rPr>
                <w:rFonts w:ascii="Arial" w:cs="Arial" w:eastAsia="Arial" w:hAnsi="Arial"/>
                <w:b w:val="false"/>
                <w:bCs w:val="false"/>
                <w:color w:val="FFFFFF"/>
                <w:sz w:val="22"/>
                <w:szCs w:val="22"/>
              </w:rPr>
              <w:t xml:space="preserve">Solicitation: Evaluation</w:t>
            </w:r>
          </w:p>
        </w:tc>
        <w:tc>
          <w:tcPr>
            <w:tcW w:type="dxa" w:w="1800"/>
            <w:shd w:fill="1C1C1C"/>
          </w:tcPr>
          <w:p>
            <w:r>
              <w:rPr>
                <w:rFonts w:ascii="Arial" w:cs="Arial" w:eastAsia="Arial" w:hAnsi="Arial"/>
                <w:b w:val="false"/>
                <w:bCs w:val="false"/>
                <w:color w:val="FFFFFF"/>
                <w:sz w:val="22"/>
                <w:szCs w:val="22"/>
              </w:rPr>
              <w:t xml:space="preserve">Cover Page</w:t>
            </w:r>
          </w:p>
        </w:tc>
        <w:tc>
          <w:tcPr>
            <w:tcW w:type="dxa" w:w="1800"/>
            <w:shd w:fill="1C1C1C"/>
          </w:tcPr>
          <w:p>
            <w:r>
              <w:rPr>
                <w:rFonts w:ascii="Arial" w:cs="Arial" w:eastAsia="Arial" w:hAnsi="Arial"/>
                <w:b w:val="false"/>
                <w:bCs w:val="false"/>
                <w:color w:val="FFFFFF"/>
                <w:sz w:val="22"/>
                <w:szCs w:val="22"/>
              </w:rPr>
              <w:t xml:space="preserve">low</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REQ-002</w:t>
            </w:r>
          </w:p>
        </w:tc>
        <w:tc>
          <w:tcPr>
            <w:tcW w:type="dxa" w:w="1800"/>
            <w:shd w:fill="222222"/>
          </w:tcPr>
          <w:p>
            <w:r>
              <w:rPr>
                <w:rFonts w:ascii="Arial" w:cs="Arial" w:eastAsia="Arial" w:hAnsi="Arial"/>
                <w:b w:val="false"/>
                <w:bCs w:val="false"/>
                <w:color w:val="FFFFFF"/>
                <w:sz w:val="22"/>
                <w:szCs w:val="22"/>
              </w:rPr>
              <w:t xml:space="preserve">Pricing Form: and Locations List – Pressure Washing Services</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REQ-003</w:t>
            </w:r>
          </w:p>
        </w:tc>
        <w:tc>
          <w:tcPr>
            <w:tcW w:type="dxa" w:w="1800"/>
            <w:shd w:fill="1C1C1C"/>
          </w:tcPr>
          <w:p>
            <w:r>
              <w:rPr>
                <w:rFonts w:ascii="Arial" w:cs="Arial" w:eastAsia="Arial" w:hAnsi="Arial"/>
                <w:b w:val="false"/>
                <w:bCs w:val="false"/>
                <w:color w:val="FFFFFF"/>
                <w:sz w:val="22"/>
                <w:szCs w:val="22"/>
              </w:rPr>
              <w:t xml:space="preserve">E-Verify enrollment required</w:t>
            </w:r>
          </w:p>
        </w:tc>
        <w:tc>
          <w:tcPr>
            <w:tcW w:type="dxa" w:w="1800"/>
            <w:shd w:fill="1C1C1C"/>
          </w:tcPr>
          <w:p>
            <w:r>
              <w:rPr>
                <w:rFonts w:ascii="Arial" w:cs="Arial" w:eastAsia="Arial" w:hAnsi="Arial"/>
                <w:b w:val="false"/>
                <w:bCs w:val="false"/>
                <w:color w:val="FFFFFF"/>
                <w:sz w:val="22"/>
                <w:szCs w:val="22"/>
              </w:rPr>
              <w:t xml:space="preserve">Labor</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REQ-004</w:t>
            </w:r>
          </w:p>
        </w:tc>
        <w:tc>
          <w:tcPr>
            <w:tcW w:type="dxa" w:w="1800"/>
            <w:shd w:fill="222222"/>
          </w:tcPr>
          <w:p>
            <w:r>
              <w:rPr>
                <w:rFonts w:ascii="Arial" w:cs="Arial" w:eastAsia="Arial" w:hAnsi="Arial"/>
                <w:b w:val="false"/>
                <w:bCs w:val="false"/>
                <w:color w:val="FFFFFF"/>
                <w:sz w:val="22"/>
                <w:szCs w:val="22"/>
              </w:rPr>
              <w:t xml:space="preserve">Commercial General Liability (see amounts in doc)</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REQ-005</w:t>
            </w:r>
          </w:p>
        </w:tc>
        <w:tc>
          <w:tcPr>
            <w:tcW w:type="dxa" w:w="1800"/>
            <w:shd w:fill="1C1C1C"/>
          </w:tcPr>
          <w:p>
            <w:r>
              <w:rPr>
                <w:rFonts w:ascii="Arial" w:cs="Arial" w:eastAsia="Arial" w:hAnsi="Arial"/>
                <w:b w:val="false"/>
                <w:bCs w:val="false"/>
                <w:color w:val="FFFFFF"/>
                <w:sz w:val="22"/>
                <w:szCs w:val="22"/>
              </w:rPr>
              <w:t xml:space="preserve">Automobile Liability (see amounts in doc)</w:t>
            </w:r>
          </w:p>
        </w:tc>
        <w:tc>
          <w:tcPr>
            <w:tcW w:type="dxa" w:w="1800"/>
            <w:shd w:fill="1C1C1C"/>
          </w:tcPr>
          <w:p>
            <w:r>
              <w:rPr>
                <w:rFonts w:ascii="Arial" w:cs="Arial" w:eastAsia="Arial" w:hAnsi="Arial"/>
                <w:b w:val="false"/>
                <w:bCs w:val="false"/>
                <w:color w:val="FFFFFF"/>
                <w:sz w:val="22"/>
                <w:szCs w:val="22"/>
              </w:rPr>
              <w:t xml:space="preserve">Insurance/Bonding</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REQ-006</w:t>
            </w:r>
          </w:p>
        </w:tc>
        <w:tc>
          <w:tcPr>
            <w:tcW w:type="dxa" w:w="1800"/>
            <w:shd w:fill="222222"/>
          </w:tcPr>
          <w:p>
            <w:r>
              <w:rPr>
                <w:rFonts w:ascii="Arial" w:cs="Arial" w:eastAsia="Arial" w:hAnsi="Arial"/>
                <w:b w:val="false"/>
                <w:bCs w:val="false"/>
                <w:color w:val="FFFFFF"/>
                <w:sz w:val="22"/>
                <w:szCs w:val="22"/>
              </w:rPr>
              <w:t xml:space="preserve">Workers Comp: the statutory limitsestablished by the General</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REQ-007</w:t>
            </w:r>
          </w:p>
        </w:tc>
        <w:tc>
          <w:tcPr>
            <w:tcW w:type="dxa" w:w="1800"/>
            <w:shd w:fill="1C1C1C"/>
          </w:tcPr>
          <w:p>
            <w:r>
              <w:rPr>
                <w:rFonts w:ascii="Arial" w:cs="Arial" w:eastAsia="Arial" w:hAnsi="Arial"/>
                <w:b w:val="false"/>
                <w:bCs w:val="false"/>
                <w:color w:val="FFFFFF"/>
                <w:sz w:val="22"/>
                <w:szCs w:val="22"/>
              </w:rPr>
              <w:t xml:space="preserve">Background Checks: background checks on personnel</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2026-04-27T23:18:53.931Z</dcterms:created>
  <dcterms:modified xsi:type="dcterms:W3CDTF">2026-04-27T23:18:53.931Z</dcterms:modified>
</cp:coreProperties>
</file>

<file path=docProps/custom.xml><?xml version="1.0" encoding="utf-8"?>
<Properties xmlns="http://schemas.openxmlformats.org/officeDocument/2006/custom-properties" xmlns:vt="http://schemas.openxmlformats.org/officeDocument/2006/docPropsVTypes"/>
</file>