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When the Human Body Becomes Data</w:t>
      </w:r>
    </w:p>
    <w:p>
      <w:pPr>
        <w:jc w:val="center"/>
      </w:pPr>
      <w:r>
        <w:rPr>
          <w:i/>
          <w:sz w:val="22"/>
        </w:rPr>
        <w:t>From retinal photoreception to biometric governance, the recurring lesson of technological history is that ethical limits often arrive after capability. Pakistan has an opportunity to reverse that sequence.</w:t>
      </w:r>
    </w:p>
    <w:p>
      <w:pPr>
        <w:jc w:val="center"/>
      </w:pPr>
      <w:r>
        <w:rPr>
          <w:b/>
          <w:sz w:val="18"/>
        </w:rPr>
        <w:t>PRISM submission draft  |  Features &amp; Analysis</w:t>
      </w:r>
    </w:p>
    <w:p/>
    <w:p>
      <w:pPr>
        <w:pStyle w:val="Heading1"/>
      </w:pPr>
      <w:r>
        <w:t>The eye beyond sight</w:t>
      </w:r>
    </w:p>
    <w:p>
      <w:pPr>
        <w:jc w:val="both"/>
      </w:pPr>
      <w:r>
        <w:t>The human eye does more than create an image of the world. Modern retinal science has established that intrinsically photosensitive retinal ganglion cells, containing the photopigment melanopsin, respond to environmental light and contribute to non-image-forming functions including circadian entrainment and the pupillary light reflex. The scientific point is well established; the political conclusion is not. Yet the discovery offers a useful starting point for a larger question: how should societies govern technologies that can turn increasingly intimate characteristics of human biology into machine-readable information?</w:t>
      </w:r>
    </w:p>
    <w:p>
      <w:pPr>
        <w:jc w:val="both"/>
      </w:pPr>
      <w:r>
        <w:t>Faces can now be converted into mathematical templates. Fingerprints and irises can become authentication credentials. Wearable and medical devices can record physiological signals. Neurotechnology is moving toward the monitoring, assessment and, in some contexts, influence of brain and nervous-system activity. None of this proves that every measurable signal is being secretly harvested, nor should beneficial technologies be treated as inherently malign. It does, however, expose a widening gap between what can be measured and what law, ethics and democratic institutions have decided should be measured, retained, combined or inferred.</w:t>
      </w:r>
    </w:p>
    <w:p>
      <w:pPr>
        <w:jc w:val="both"/>
      </w:pPr>
      <w:r>
        <w:t>That gap is the subject of this essay. I use the term “biological sovereignty” to describe a principle that conventional data privacy only partly captures: the continuing authority a person should retain over the collection, digitisation, inference, retention and secondary use of information derived from his or her body.</w:t>
      </w:r>
    </w:p>
    <w:p>
      <w:pPr>
        <w:pStyle w:val="Heading1"/>
      </w:pPr>
      <w:r>
        <w:t>Technology first, restraint later</w:t>
      </w:r>
    </w:p>
    <w:p>
      <w:pPr>
        <w:jc w:val="both"/>
      </w:pPr>
      <w:r>
        <w:t>History repeatedly shows that technical capability can precede ethical settlement. During the First World War, chemical warfare reached an unprecedented scale despite earlier international efforts to prohibit poison and asphyxiating gases. The Organisation for the Prohibition of Chemical Weapons records that about 124,200 tonnes of chemical agents were released during the war, killing more than 90,000 soldiers and leaving close to a million others blind, disfigured or debilitated. The later legal architecture against chemical warfare was shaped in part by the consequences already witnessed.</w:t>
      </w:r>
    </w:p>
    <w:p>
      <w:pPr>
        <w:jc w:val="both"/>
      </w:pPr>
      <w:r>
        <w:t>The Second World War deepened the problem in a different way. It demonstrated the catastrophic consequences that can follow when science, medicine, bureaucracy and state power are severed from human dignity and consent. The post-war response produced enduring ethical norms, but it also produced uncomfortable compromises. The United States’ Project Paperclip brought German and other foreign scientists, technicians and engineers into the country. US National Archives records contain dossiers on more than 1,500 such specialists and note that some subjects had been members of Nazi organisations; the archive also identifies cases involving people connected to concentration-camp abuses or forced-labour systems.</w:t>
      </w:r>
    </w:p>
    <w:p>
      <w:pPr>
        <w:jc w:val="both"/>
      </w:pPr>
      <w:r>
        <w:t>The point is not that contemporary biometrics or artificial intelligence are equivalent to wartime atrocities. They are not. The relevant historical lesson is narrower and more defensible: societies have repeatedly discovered that scientific value, national interest and institutional incentives can compete with ethical safeguards. Governance therefore matters before a capability becomes indispensable, not only after its harms become undeniable.</w:t>
      </w:r>
    </w:p>
    <w:p>
      <w:pPr>
        <w:pStyle w:val="Heading1"/>
      </w:pPr>
      <w:r>
        <w:t>When money enters the laboratory</w:t>
      </w:r>
    </w:p>
    <w:p>
      <w:pPr>
        <w:jc w:val="both"/>
      </w:pPr>
      <w:r>
        <w:t>The Jeffrey Epstein case provides a more recent example of why scientific prestige does not eliminate the need for institutional scrutiny. Harvard University’s own investigation found that, before Epstein’s 2008 conviction, he donated $9.179 million to Harvard faculty and programmes. A $6.5 million gift in 2003 helped establish the Program for Evolutionary Dynamics. Harvard’s review further found that Epstein continued visiting the programme’s offices after his release from prison, likely more than 40 times between 2010 and 2018, often using those visits to meet academics.</w:t>
      </w:r>
    </w:p>
    <w:p>
      <w:pPr>
        <w:jc w:val="both"/>
      </w:pPr>
      <w:r>
        <w:t>Those findings do not establish that Epstein controlled a secret scientific programme, and they should not be stretched to make that claim. They establish something both simpler and more important: private wealth can purchase proximity to elite scientific networks, and prestigious institutions can fail to impose adequate boundaries. The case therefore belongs in a discussion about governance, conflicts of interest and the accountability of knowledge-producing institutions—not as proof of a hidden technological chain.</w:t>
      </w:r>
    </w:p>
    <w:p>
      <w:pPr>
        <w:pStyle w:val="Heading1"/>
      </w:pPr>
      <w:r>
        <w:t>Biometrics become state infrastructure</w:t>
      </w:r>
    </w:p>
    <w:p>
      <w:pPr>
        <w:jc w:val="both"/>
      </w:pPr>
      <w:r>
        <w:t>The next transformation is already visible: biological characteristics are becoming routine components of state identity infrastructure. Israel offers a documented legislative case study. The Knesset’s national legislation database records laws governing the inclusion of biometric identification means and biometric identification data in identity documents and a database. In 2025, the Knesset approved amendments concerning powers to collect and use biometric identifiers, while separate temporary arrangements continued to address the retention of fingerprints in the national biometric database.</w:t>
      </w:r>
    </w:p>
    <w:p>
      <w:pPr>
        <w:jc w:val="both"/>
      </w:pPr>
      <w:r>
        <w:t>The significance of this example is not that Israel is uniquely biometric. It is that elected legislatures are now having to answer questions that were once largely technological: which biological identifiers may the state collect, which may be retained, who may access them, for how long, and under what conditions? Those questions are becoming ordinary questions of government.</w:t>
      </w:r>
    </w:p>
    <w:p>
      <w:pPr>
        <w:pStyle w:val="Heading1"/>
      </w:pPr>
      <w:r>
        <w:t>From databases to decision infrastructure</w:t>
      </w:r>
    </w:p>
    <w:p>
      <w:pPr>
        <w:jc w:val="both"/>
      </w:pPr>
      <w:r>
        <w:t>Private institutional power has also changed with the scale of data and modelling. BlackRock’s Aladdin platform is a useful example precisely because its documented role is financial rather than biological. BlackRock describes Aladdin as an investment and risk-management technology platform serving institutional clients. Its SEC filings identify clients that include pension funds, insurers, financial institutions, central banks, sovereign wealth funds and other government entities. BlackRock describes Aladdin Risk as combining data, advanced models, scenario analysis and thousands of risk factors to support portfolio-wide analysis.</w:t>
      </w:r>
    </w:p>
    <w:p>
      <w:pPr>
        <w:jc w:val="both"/>
      </w:pPr>
      <w:r>
        <w:t>This is not evidence that BlackRock controls governments, nor that Aladdin constitutes a biometric-surveillance system. It illustrates a broader transformation: the ability to aggregate information, model complex systems and convert analytics into decisions has itself become a form of institutional capacity. In finance the object may be portfolio risk. In public administration it may be identity or security. In medicine it may be physiology. The domains differ, but the governing question persists: when increasingly consequential decisions depend on concentrated data and analytical infrastructures, who can inspect the assumptions, contest the outputs and hold the operators accountable?</w:t>
      </w:r>
    </w:p>
    <w:p>
      <w:pPr>
        <w:pStyle w:val="Heading1"/>
      </w:pPr>
      <w:r>
        <w:t>Pakistan is already inside the debate</w:t>
      </w:r>
    </w:p>
    <w:p>
      <w:pPr>
        <w:jc w:val="both"/>
      </w:pPr>
      <w:r>
        <w:t>For Pakistan, this is not a speculative future. According to NADRA’s annual performance figures reported by Dawn in February 2026, 227 million individuals were registered with the authority. Its system held facial records for about 170 million people, iris data for seven million and 1.68 billion fingerprints. During 2025 alone, approximately 445 million biometric verifications were conducted.</w:t>
      </w:r>
    </w:p>
    <w:p>
      <w:pPr>
        <w:jc w:val="both"/>
      </w:pPr>
      <w:r>
        <w:t>Biometrics can solve real problems. They can reduce impersonation, make identity verification more reliable and help citizens whose fingerprints are difficult to authenticate. Surveillance technologies can also support legitimate public-safety goals. Dawn’s September 28 editorial on Punjab’s expanding digital surveillance network noted the use of facial recognition, automatic number-plate recognition, video analytics and crime-pattern analysis, while recognising possible benefits for policing and emergency response.</w:t>
      </w:r>
    </w:p>
    <w:p>
      <w:pPr>
        <w:jc w:val="both"/>
      </w:pPr>
      <w:r>
        <w:t>But the same editorial identified the issue that matters most: safeguards. It called for rules governing access, retention, sharing and use of personal data, with access to sensitive information logged and audited and misuse penalised. This is the correct direction. The question is not whether Pakistan should use technology. It is whether the institutional architecture governing that technology is developing as quickly as the infrastructure itself.</w:t>
      </w:r>
    </w:p>
    <w:p>
      <w:pPr>
        <w:pStyle w:val="Heading1"/>
      </w:pPr>
      <w:r>
        <w:t>A password is not a fingerprint</w:t>
      </w:r>
    </w:p>
    <w:p>
      <w:pPr>
        <w:jc w:val="both"/>
      </w:pPr>
      <w:r>
        <w:t>Biological identifiers deserve special treatment because they are unusually persistent. A compromised password can be changed. A payment card can be cancelled. A face, fingerprint or iris cannot simply be reissued. The permanence of biometric information changes the consequences of collection and breach.</w:t>
      </w:r>
    </w:p>
    <w:p>
      <w:pPr>
        <w:jc w:val="both"/>
      </w:pPr>
      <w:r>
        <w:t>Conventional privacy law asks who may possess information about us and under what conditions. Biological sovereignty asks an additional question: what continuing authority should a person retain when the information originates in the body and may become a permanent digital proxy for that person?</w:t>
      </w:r>
    </w:p>
    <w:p>
      <w:pPr>
        <w:jc w:val="both"/>
      </w:pPr>
      <w:r>
        <w:t>This is not yet a settled legal doctrine. It is a proposed framework. But international policy is already moving toward related ideas. UNESCO’s work on neurotechnology explicitly raises human dignity, personal identity, autonomy, freedom of thought, cognitive liberty, mental privacy and brain-data confidentiality. The OECD’s Recommendation on Responsible Innovation in Neurotechnology defines personal brain data and calls for safeguards around its collection, storage, processing and potential use, while urging institutions to anticipate unintended use and misuse.</w:t>
      </w:r>
    </w:p>
    <w:p>
      <w:pPr>
        <w:pStyle w:val="Heading1"/>
      </w:pPr>
      <w:r>
        <w:t>From mental privacy to biological sovereignty</w:t>
      </w:r>
    </w:p>
    <w:p>
      <w:pPr>
        <w:jc w:val="both"/>
      </w:pPr>
      <w:r>
        <w:t>These developments matter because the boundary of extractable information is moving inward. Today’s mass biometric systems mostly concern faces, fingerprints and irises. Emerging neurotechnologies raise questions about information relating to brain structure, function and mental states. Artificial intelligence can increase the ability to identify patterns across large and heterogeneous datasets. The fact that a signal can be captured or inferred does not settle whether it should be.</w:t>
      </w:r>
    </w:p>
    <w:p>
      <w:pPr>
        <w:jc w:val="both"/>
      </w:pPr>
      <w:r>
        <w:t>Biological sovereignty could provide a framework around four principles. First, people should have a right to know what biological identifiers are collected, for what purpose, where they are retained and which institutions may access them. Second, purpose limitation should prevent information collected for identity verification from automatically migrating into unrelated surveillance, profiling or commercial use. Third, access to sensitive biological information should be auditable, with meaningful accountability for misuse. Fourth, law should recognise biometric permanence: security and remedies for identifiers that cannot realistically be replaced must be stronger than those applied to ordinary credentials.</w:t>
      </w:r>
    </w:p>
    <w:p>
      <w:pPr>
        <w:jc w:val="both"/>
      </w:pPr>
      <w:r>
        <w:t>Such principles are not anti-technology. They are conditions for legitimate technology. The history of chemical weapons, wartime experimentation, post-war scientific recruitment, failures of institutional gatekeeping, modern biometric legislation and contemporary data-driven decision systems does not prove a single hidden continuum. It demonstrates a recurring governance problem: scientific and analytical capabilities can acquire strategic or economic value faster than institutions develop adequate ethical boundaries.</w:t>
      </w:r>
    </w:p>
    <w:p>
      <w:pPr>
        <w:pStyle w:val="Heading1"/>
      </w:pPr>
      <w:r>
        <w:t>The choice before Pakistan</w:t>
      </w:r>
    </w:p>
    <w:p>
      <w:pPr>
        <w:jc w:val="both"/>
      </w:pPr>
      <w:r>
        <w:t>Pakistan therefore has an opportunity to avoid an old sequence: invention, deployment, dependence, scandal and only then restraint. The country can instead establish boundaries while its biometric and AI-enabled infrastructure is still developing.</w:t>
      </w:r>
    </w:p>
    <w:p>
      <w:pPr>
        <w:jc w:val="both"/>
      </w:pPr>
      <w:r>
        <w:t>The human eye offers an appropriate place to end. Science discovered that the retina does more than produce vision. Technology is discovering, more broadly, that the human body contains far more information than earlier generations could measure. That achievement should inspire both optimism and caution.</w:t>
      </w:r>
    </w:p>
    <w:p>
      <w:pPr>
        <w:jc w:val="both"/>
      </w:pPr>
      <w:r>
        <w:t>Digital sovereignty asks where data resides and who controls the infrastructure that holds it. Biological sovereignty asks a more fundamental question: when the human body itself becomes data, who ultimately retains authority over the human being from whom that data originates?</w:t>
      </w:r>
    </w:p>
    <w:p>
      <w:r>
        <w:br w:type="page"/>
      </w:r>
    </w:p>
    <w:p>
      <w:pPr>
        <w:pStyle w:val="Heading1"/>
      </w:pPr>
      <w:r>
        <w:t>Source notes for editorial verification</w:t>
      </w:r>
    </w:p>
    <w:p>
      <w:pPr/>
      <w:r>
        <w:rPr>
          <w:b/>
        </w:rPr>
        <w:t xml:space="preserve">Retinal photoreception: </w:t>
      </w:r>
      <w:r>
        <w:t>Do, M.T.H. &amp; Yau, K.-W. Reviews of intrinsically photosensitive retinal ganglion cells; peer-reviewed retinal neuroscience literature on melanopsin, circadian entrainment and pupillary responses.</w:t>
      </w:r>
    </w:p>
    <w:p>
      <w:pPr/>
      <w:r>
        <w:rPr>
          <w:b/>
        </w:rPr>
        <w:t xml:space="preserve">World War I chemical warfare: </w:t>
      </w:r>
      <w:r>
        <w:t>Organisation for the Prohibition of Chemical Weapons (OPCW), “History”: records approximately 124,200 tonnes of chemical agents released and more than 90,000 deaths from exposure during WWI.</w:t>
      </w:r>
    </w:p>
    <w:p>
      <w:pPr/>
      <w:r>
        <w:rPr>
          <w:b/>
        </w:rPr>
        <w:t xml:space="preserve">Operation Paperclip: </w:t>
      </w:r>
      <w:r>
        <w:t>US National Archives, Records of the Secretary of Defense (RG 330) and Nazi War Crimes Disclosure Act records: personnel dossiers on more than 1,500 German and other foreign scientists, technicians and engineers brought to the US under Project Paperclip and similar programmes.</w:t>
      </w:r>
    </w:p>
    <w:p>
      <w:pPr/>
      <w:r>
        <w:rPr>
          <w:b/>
        </w:rPr>
        <w:t xml:space="preserve">Jeffrey Epstein / Harvard: </w:t>
      </w:r>
      <w:r>
        <w:t>Harvard University, Report Regarding Jeffrey Epstein’s Connections to Harvard (2020): $9.179m donated before his 2008 conviction; $6.5m gift in 2003 helped create the Program for Evolutionary Dynamics; post-release visits to PED offices documented.</w:t>
      </w:r>
    </w:p>
    <w:p>
      <w:pPr/>
      <w:r>
        <w:rPr>
          <w:b/>
        </w:rPr>
        <w:t xml:space="preserve">Israel / Knesset biometric law: </w:t>
      </w:r>
      <w:r>
        <w:t>Knesset National Legislation Database: legislation on inclusion of biometric identification means and biometric identification data in identity documents and a database; 2025 amendments and temporary provisions concerning collection/use and fingerprint retention.</w:t>
      </w:r>
    </w:p>
    <w:p>
      <w:pPr/>
      <w:r>
        <w:rPr>
          <w:b/>
        </w:rPr>
        <w:t xml:space="preserve">BlackRock / Aladdin: </w:t>
      </w:r>
      <w:r>
        <w:t>BlackRock 2025 SEC filing and BlackRock Aladdin Risk materials: Aladdin is an investment/risk-management technology platform serving institutional clients including central banks and sovereign wealth funds; BlackRock describes advanced modelling, scenario analysis and thousands of risk factors.</w:t>
      </w:r>
    </w:p>
    <w:p>
      <w:pPr/>
      <w:r>
        <w:rPr>
          <w:b/>
        </w:rPr>
        <w:t xml:space="preserve">Pakistan / NADRA: </w:t>
      </w:r>
      <w:r>
        <w:t>Dawn, Feb. 21, 2026, citing NADRA annual performance report: 227m registered individuals; facial records of 170m people; iris data of 7m; 1.68bn fingerprints; 445m biometric verifications in 2025.</w:t>
      </w:r>
    </w:p>
    <w:p>
      <w:pPr/>
      <w:r>
        <w:rPr>
          <w:b/>
        </w:rPr>
        <w:t xml:space="preserve">Punjab surveillance: </w:t>
      </w:r>
      <w:r>
        <w:t>Dawn editorial, Sept. 28, 2026, “Expanding surveillance”: facial recognition, ANPR, video analytics and crime-pattern analysis; calls for access, retention, sharing, auditing and misuse safeguards.</w:t>
      </w:r>
    </w:p>
    <w:p>
      <w:pPr/>
      <w:r>
        <w:rPr>
          <w:b/>
        </w:rPr>
        <w:t xml:space="preserve">Neurotechnology / mental privacy: </w:t>
      </w:r>
      <w:r>
        <w:t>UNESCO, Ethics of Neurotechnology and International Bioethics Committee report; OECD Recommendation of the Council on Responsible Innovation in Neurotechnology (OECD/LEGAL/0457), including cognitive liberty, personal brain data and safeguards against misuse.</w:t>
      </w:r>
    </w:p>
    <w:p>
      <w:pPr>
        <w:pStyle w:val="Heading1"/>
      </w:pPr>
      <w:r>
        <w:t>Primary links for the editor</w:t>
      </w:r>
    </w:p>
    <w:p>
      <w:r>
        <w:rPr>
          <w:b/>
        </w:rPr>
        <w:t>Dawn Prism submission instructions</w:t>
        <w:br/>
      </w:r>
      <w:r>
        <w:rPr>
          <w:sz w:val="18"/>
        </w:rPr>
        <w:t>https://www.dawn.com/prism/submit</w:t>
      </w:r>
    </w:p>
    <w:p>
      <w:r>
        <w:rPr>
          <w:b/>
        </w:rPr>
        <w:t>Dawn AI policy</w:t>
        <w:br/>
      </w:r>
      <w:r>
        <w:rPr>
          <w:sz w:val="18"/>
        </w:rPr>
        <w:t>https://www.dawn.com/news/1884291</w:t>
      </w:r>
    </w:p>
    <w:p>
      <w:r>
        <w:rPr>
          <w:b/>
        </w:rPr>
        <w:t>OPCW history</w:t>
        <w:br/>
      </w:r>
      <w:r>
        <w:rPr>
          <w:sz w:val="18"/>
        </w:rPr>
        <w:t>https://www.opcw.org/about-us/history</w:t>
      </w:r>
    </w:p>
    <w:p>
      <w:r>
        <w:rPr>
          <w:b/>
        </w:rPr>
        <w:t>US National Archives — Project Paperclip records</w:t>
        <w:br/>
      </w:r>
      <w:r>
        <w:rPr>
          <w:sz w:val="18"/>
        </w:rPr>
        <w:t>https://www.archives.gov/iwg/declassified-records/rg-330-defense-secretary</w:t>
      </w:r>
    </w:p>
    <w:p>
      <w:r>
        <w:rPr>
          <w:b/>
        </w:rPr>
        <w:t>Harvard — Report Regarding Jeffrey Epstein’s Connections to Harvard</w:t>
        <w:br/>
      </w:r>
      <w:r>
        <w:rPr>
          <w:sz w:val="18"/>
        </w:rPr>
        <w:t>https://www.harvard.edu/president/news-and-statements-by-president-bacow/2020/report-regarding-jeffrey-epstein-s-connections-to-harvard/</w:t>
      </w:r>
    </w:p>
    <w:p>
      <w:r>
        <w:rPr>
          <w:b/>
        </w:rPr>
        <w:t>Knesset — biometric legislation (2025 amendment)</w:t>
        <w:br/>
      </w:r>
      <w:r>
        <w:rPr>
          <w:sz w:val="18"/>
        </w:rPr>
        <w:t>https://main.knesset.gov.il/Activity/Legislation/Laws/pages/lawbill.aspx?lawitemid=2217525&amp;t=lawsuggestionssearch</w:t>
      </w:r>
    </w:p>
    <w:p>
      <w:r>
        <w:rPr>
          <w:b/>
        </w:rPr>
        <w:t>SEC — BlackRock filing describing Aladdin and institutional clients</w:t>
        <w:br/>
      </w:r>
      <w:r>
        <w:rPr>
          <w:sz w:val="18"/>
        </w:rPr>
        <w:t>https://www.sec.gov/Archives/edgar/data/2012383/000095017025103780/blk-20250630.htm</w:t>
      </w:r>
    </w:p>
    <w:p>
      <w:r>
        <w:rPr>
          <w:b/>
        </w:rPr>
        <w:t>BlackRock — Aladdin Risk</w:t>
        <w:br/>
      </w:r>
      <w:r>
        <w:rPr>
          <w:sz w:val="18"/>
        </w:rPr>
        <w:t>https://www.blackrock.com/aladdin/platforms/products/aladdin-risk</w:t>
      </w:r>
    </w:p>
    <w:p>
      <w:r>
        <w:rPr>
          <w:b/>
        </w:rPr>
        <w:t>Dawn — NADRA biometric figures</w:t>
        <w:br/>
      </w:r>
      <w:r>
        <w:rPr>
          <w:sz w:val="18"/>
        </w:rPr>
        <w:t>https://www.dawn.com/news/1974718</w:t>
      </w:r>
    </w:p>
    <w:p>
      <w:r>
        <w:rPr>
          <w:b/>
        </w:rPr>
        <w:t>Dawn — Expanding surveillance</w:t>
        <w:br/>
      </w:r>
      <w:r>
        <w:rPr>
          <w:sz w:val="18"/>
        </w:rPr>
        <w:t>https://www.dawn.com/news/2033193</w:t>
      </w:r>
    </w:p>
    <w:p>
      <w:r>
        <w:rPr>
          <w:b/>
        </w:rPr>
        <w:t>UNESCO — Ethics of neurotechnology</w:t>
        <w:br/>
      </w:r>
      <w:r>
        <w:rPr>
          <w:sz w:val="18"/>
        </w:rPr>
        <w:t>https://www.unesco.org/en/ethics-neurotech</w:t>
      </w:r>
    </w:p>
    <w:p>
      <w:r>
        <w:rPr>
          <w:b/>
        </w:rPr>
        <w:t>OECD — Responsible Innovation in Neurotechnology</w:t>
        <w:br/>
      </w:r>
      <w:r>
        <w:rPr>
          <w:sz w:val="18"/>
        </w:rPr>
        <w:t>https://legalinstruments.oecd.org/en/instruments/oecd-legal-0457</w:t>
      </w:r>
    </w:p>
    <w:p>
      <w:pPr>
        <w:pStyle w:val="Heading1"/>
      </w:pPr>
      <w:r>
        <w:t>Submission declarations</w:t>
      </w:r>
    </w:p>
    <w:p>
      <w:r>
        <w:rPr>
          <w:b/>
        </w:rPr>
        <w:t xml:space="preserve">Author: </w:t>
      </w:r>
      <w:r>
        <w:t>Bilal Ahmed Khan</w:t>
      </w:r>
    </w:p>
    <w:p>
      <w:r>
        <w:rPr>
          <w:b/>
        </w:rPr>
        <w:t xml:space="preserve">Short bio: </w:t>
      </w:r>
      <w:r>
        <w:t>Independent Investigative Journalist and Data Actuary of Applied Political Sciences.</w:t>
      </w:r>
    </w:p>
    <w:p>
      <w:r>
        <w:rPr>
          <w:b/>
        </w:rPr>
        <w:t xml:space="preserve">Originality/exclusivity: </w:t>
      </w:r>
      <w:r>
        <w:t>Confirm before sending: this article has not been published elsewhere and is not simultaneously submitted to another publication or another Dawn desk.</w:t>
      </w:r>
    </w:p>
    <w:p>
      <w:r>
        <w:rPr>
          <w:b/>
        </w:rPr>
        <w:t xml:space="preserve">AI-use disclosure: </w:t>
      </w:r>
      <w:r>
        <w:t>This submission was developed from the author’s original monograph and research. Generative AI was used to assist with source discovery, fact-checking support, structural development and drafting/editing. The author must personally review and verify the final text and sources before submission. Dawn’s current policy requires contributors to disclose AI use and reserves editorial discretion over AI-assisted content.</w:t>
      </w:r>
    </w:p>
    <w:p>
      <w:r>
        <w:rPr>
          <w:b/>
        </w:rPr>
        <w:t xml:space="preserve">Suggested email destination: </w:t>
      </w:r>
      <w:r>
        <w:t>prism@dawn.com (as listed on Prism’s current submission page).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PRISM submission draft | When the Human Body Becomes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