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A037E">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您好，我希望将我的耐病 HLB 感染样本与公开感病 HLB 数据 PRJNA324090 / SRP076109 进行比较，目标是从微生物组属水平和功能基因水平筛选可能与耐病表型相关的候选菌属和功能通路。</w:t>
      </w:r>
    </w:p>
    <w:p w14:paraId="6E74FA79">
      <w:pPr>
        <w:pStyle w:val="30"/>
        <w:ind w:left="360"/>
        <w:rPr>
          <w:rFonts w:hint="eastAsia" w:ascii="Times New Roman" w:hAnsi="Times New Roman" w:eastAsia="宋体" w:cs="Times New Roman"/>
          <w:sz w:val="24"/>
          <w:szCs w:val="28"/>
        </w:rPr>
      </w:pPr>
    </w:p>
    <w:p w14:paraId="18B9DDFC">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请先下载 PRJNA324090 / SRP076109 的 SRA Run Table，整理 metadata，区分 Healthy/HLB、DNA metagenome/RNA metatranscriptome。优先分析 DNA metagenome 数据。</w:t>
      </w:r>
    </w:p>
    <w:p w14:paraId="2D85C0EC">
      <w:pPr>
        <w:pStyle w:val="30"/>
        <w:ind w:left="360"/>
        <w:rPr>
          <w:rFonts w:hint="eastAsia" w:ascii="Times New Roman" w:hAnsi="Times New Roman" w:eastAsia="宋体" w:cs="Times New Roman"/>
          <w:sz w:val="24"/>
          <w:szCs w:val="28"/>
        </w:rPr>
      </w:pPr>
    </w:p>
    <w:p w14:paraId="7F46F64C">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请使用与我的数据尽量一致的流程进行重分析，并输出以下结果：</w:t>
      </w:r>
    </w:p>
    <w:p w14:paraId="6063B645">
      <w:pPr>
        <w:pStyle w:val="30"/>
        <w:ind w:left="360"/>
        <w:rPr>
          <w:rFonts w:hint="eastAsia" w:ascii="Times New Roman" w:hAnsi="Times New Roman" w:eastAsia="宋体" w:cs="Times New Roman"/>
          <w:sz w:val="24"/>
          <w:szCs w:val="28"/>
        </w:rPr>
      </w:pPr>
    </w:p>
    <w:p w14:paraId="6C546E39">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1. 物种组成结果</w:t>
      </w:r>
    </w:p>
    <w:p w14:paraId="7E1575E4">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public_genus_abundance_matrix.tsv</w:t>
      </w:r>
    </w:p>
    <w:p w14:paraId="1858AF54">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your_genus_abundance_matrix.tsv</w:t>
      </w:r>
    </w:p>
    <w:p w14:paraId="1D4AFAF7">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merged_genus_abundance_matrix.tsv</w:t>
      </w:r>
    </w:p>
    <w:p w14:paraId="608A9A37">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genus_relative_abundance_matrix.tsv</w:t>
      </w:r>
    </w:p>
    <w:p w14:paraId="404B0A92">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genus_diff_ResistantHLB（我们测序）_vs_SusceptibleHLB.tsv（对方测序）</w:t>
      </w:r>
    </w:p>
    <w:p w14:paraId="19E14DAC">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genus_diff_PublicHLB_vs_PublicHealthy.tsv</w:t>
      </w:r>
    </w:p>
    <w:p w14:paraId="736D6FA9">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candidate_resistance_genera.tsv</w:t>
      </w:r>
    </w:p>
    <w:p w14:paraId="48619EBB">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Bray-Curtis distance matrix</w:t>
      </w:r>
    </w:p>
    <w:p w14:paraId="64133AFB">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PCoA coordinates</w:t>
      </w:r>
    </w:p>
    <w:p w14:paraId="50CAA139">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PERMANOVA results</w:t>
      </w:r>
    </w:p>
    <w:p w14:paraId="0897F315">
      <w:pPr>
        <w:pStyle w:val="30"/>
        <w:ind w:left="360"/>
        <w:rPr>
          <w:rFonts w:hint="eastAsia" w:ascii="Times New Roman" w:hAnsi="Times New Roman" w:eastAsia="宋体" w:cs="Times New Roman"/>
          <w:sz w:val="24"/>
          <w:szCs w:val="28"/>
        </w:rPr>
      </w:pPr>
    </w:p>
    <w:p w14:paraId="48552B45">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2. KEGG 功能结果</w:t>
      </w:r>
    </w:p>
    <w:p w14:paraId="0669CA37">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KO_abundance_matrix.tsv</w:t>
      </w:r>
    </w:p>
    <w:p w14:paraId="237F52C9">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KEGG_pathway_abundance_matrix.tsv</w:t>
      </w:r>
    </w:p>
    <w:p w14:paraId="6697A256">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KEGG Level 2 / Level 3 abundance table</w:t>
      </w:r>
    </w:p>
    <w:p w14:paraId="623BBBB8">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KO_diff_ResistantHLB_vs_SusceptibleHLB.tsv</w:t>
      </w:r>
    </w:p>
    <w:p w14:paraId="289D7310">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pathway_diff_ResistantHLB_vs_SusceptibleHLB.tsv</w:t>
      </w:r>
    </w:p>
    <w:p w14:paraId="3B53F1E6">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candidate_resistance_functions.tsv</w:t>
      </w:r>
    </w:p>
    <w:p w14:paraId="1E73CA2A">
      <w:pPr>
        <w:pStyle w:val="30"/>
        <w:ind w:left="360"/>
        <w:rPr>
          <w:rFonts w:hint="eastAsia" w:ascii="Times New Roman" w:hAnsi="Times New Roman" w:eastAsia="宋体" w:cs="Times New Roman"/>
          <w:sz w:val="24"/>
          <w:szCs w:val="28"/>
        </w:rPr>
      </w:pPr>
    </w:p>
    <w:p w14:paraId="5B1F7D48">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3. CAZy / PHI / VFDB 分析</w:t>
      </w:r>
    </w:p>
    <w:p w14:paraId="62160CB2">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CAZy class/family abundance matrix and differential results</w:t>
      </w:r>
    </w:p>
    <w:p w14:paraId="02F1E4D4">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PHI abundance/category matrix and differential results</w:t>
      </w:r>
    </w:p>
    <w:p w14:paraId="14E45C87">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 VFDB abundance/category matrix and differential results</w:t>
      </w:r>
    </w:p>
    <w:p w14:paraId="17BE73C6">
      <w:pPr>
        <w:pStyle w:val="30"/>
        <w:ind w:left="360"/>
        <w:rPr>
          <w:rFonts w:hint="eastAsia" w:ascii="Times New Roman" w:hAnsi="Times New Roman" w:eastAsia="宋体" w:cs="Times New Roman"/>
          <w:sz w:val="24"/>
          <w:szCs w:val="28"/>
        </w:rPr>
      </w:pPr>
    </w:p>
    <w:p w14:paraId="006C3D6A">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4. 菌属-功能关联分析</w:t>
      </w:r>
    </w:p>
    <w:p w14:paraId="537CADC0">
      <w:pPr>
        <w:pStyle w:val="30"/>
        <w:ind w:left="36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请基于候选差异菌属和候选差异功能进行 Spearman 或 SparCC 相关分析，输出 genus_function_correlation.tsv 和 candidate_genera_function_network.tsv，用于判断哪些菌属可能贡献耐病相关功能。</w:t>
      </w:r>
    </w:p>
    <w:p w14:paraId="712278F6">
      <w:pPr>
        <w:pStyle w:val="30"/>
        <w:ind w:left="360"/>
        <w:rPr>
          <w:rFonts w:hint="eastAsia" w:ascii="Times New Roman" w:hAnsi="Times New Roman" w:eastAsia="宋体" w:cs="Times New Roman"/>
          <w:sz w:val="24"/>
          <w:szCs w:val="28"/>
        </w:rPr>
      </w:pPr>
    </w:p>
    <w:p w14:paraId="52877558">
      <w:pPr>
        <w:pStyle w:val="30"/>
        <w:ind w:left="360"/>
        <w:rPr>
          <w:rFonts w:ascii="Times New Roman" w:hAnsi="Times New Roman" w:eastAsia="宋体" w:cs="Times New Roman"/>
          <w:color w:val="FF0000"/>
          <w:sz w:val="24"/>
          <w:szCs w:val="28"/>
        </w:rPr>
      </w:pPr>
      <w:r>
        <w:rPr>
          <w:rFonts w:hint="eastAsia" w:ascii="Times New Roman" w:hAnsi="Times New Roman" w:eastAsia="宋体" w:cs="Times New Roman"/>
          <w:color w:val="FF0000"/>
          <w:sz w:val="24"/>
          <w:szCs w:val="28"/>
        </w:rPr>
        <w:t>5.分析 宏转录组并与我们的数据进行对比找到差异表达基因，对方使用的是甜橙，请根据需求在CPBD中使用参考基因组。我们的宏转录组是芦柑样品。如果使用甜橙基因组请使用</w:t>
      </w:r>
    </w:p>
    <w:p w14:paraId="506D1BB8">
      <w:pPr>
        <w:pStyle w:val="30"/>
        <w:ind w:left="360"/>
        <w:rPr>
          <w:rFonts w:ascii="Times New Roman" w:hAnsi="Times New Roman" w:eastAsia="宋体" w:cs="Times New Roman"/>
          <w:color w:val="FF0000"/>
          <w:sz w:val="24"/>
          <w:szCs w:val="28"/>
        </w:rPr>
      </w:pPr>
      <w:r>
        <w:rPr>
          <w:color w:val="FF0000"/>
        </w:rPr>
        <w:drawing>
          <wp:inline distT="0" distB="0" distL="0" distR="0">
            <wp:extent cx="5274310" cy="328930"/>
            <wp:effectExtent l="0" t="0" r="2540" b="0"/>
            <wp:docPr id="84563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39184" name="图片 1"/>
                    <pic:cNvPicPr>
                      <a:picLocks noChangeAspect="1"/>
                    </pic:cNvPicPr>
                  </pic:nvPicPr>
                  <pic:blipFill>
                    <a:blip r:embed="rId6"/>
                    <a:stretch>
                      <a:fillRect/>
                    </a:stretch>
                  </pic:blipFill>
                  <pic:spPr>
                    <a:xfrm>
                      <a:off x="0" y="0"/>
                      <a:ext cx="5274310" cy="328930"/>
                    </a:xfrm>
                    <a:prstGeom prst="rect">
                      <a:avLst/>
                    </a:prstGeom>
                  </pic:spPr>
                </pic:pic>
              </a:graphicData>
            </a:graphic>
          </wp:inline>
        </w:drawing>
      </w:r>
    </w:p>
    <w:p w14:paraId="6F9331D0">
      <w:pPr>
        <w:pStyle w:val="30"/>
        <w:ind w:left="360"/>
        <w:rPr>
          <w:rFonts w:ascii="Times New Roman" w:hAnsi="Times New Roman" w:eastAsia="宋体" w:cs="Times New Roman"/>
          <w:color w:val="FF0000"/>
          <w:sz w:val="24"/>
          <w:szCs w:val="28"/>
        </w:rPr>
      </w:pPr>
      <w:r>
        <w:rPr>
          <w:rFonts w:hint="eastAsia" w:ascii="Times New Roman" w:hAnsi="Times New Roman" w:eastAsia="宋体" w:cs="Times New Roman"/>
          <w:color w:val="FF0000"/>
          <w:sz w:val="24"/>
          <w:szCs w:val="28"/>
        </w:rPr>
        <w:t>如果统一使用芦柑作为参考基因组请使用碰柑基因组。</w:t>
      </w:r>
    </w:p>
    <w:p w14:paraId="40CD3C41">
      <w:pPr>
        <w:pStyle w:val="30"/>
        <w:ind w:left="360"/>
        <w:rPr>
          <w:rFonts w:hint="eastAsia" w:ascii="Times New Roman" w:hAnsi="Times New Roman" w:eastAsia="宋体" w:cs="Times New Roman"/>
          <w:color w:val="FF0000"/>
          <w:sz w:val="24"/>
          <w:szCs w:val="28"/>
        </w:rPr>
      </w:pPr>
      <w:r>
        <w:rPr>
          <w:color w:val="FF0000"/>
        </w:rPr>
        <w:drawing>
          <wp:inline distT="0" distB="0" distL="0" distR="0">
            <wp:extent cx="5274310" cy="289560"/>
            <wp:effectExtent l="0" t="0" r="2540" b="0"/>
            <wp:docPr id="1173294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94857" name="图片 1"/>
                    <pic:cNvPicPr>
                      <a:picLocks noChangeAspect="1"/>
                    </pic:cNvPicPr>
                  </pic:nvPicPr>
                  <pic:blipFill>
                    <a:blip r:embed="rId7"/>
                    <a:stretch>
                      <a:fillRect/>
                    </a:stretch>
                  </pic:blipFill>
                  <pic:spPr>
                    <a:xfrm>
                      <a:off x="0" y="0"/>
                      <a:ext cx="5274310" cy="289560"/>
                    </a:xfrm>
                    <a:prstGeom prst="rect">
                      <a:avLst/>
                    </a:prstGeom>
                  </pic:spPr>
                </pic:pic>
              </a:graphicData>
            </a:graphic>
          </wp:inline>
        </w:drawing>
      </w:r>
    </w:p>
    <w:p w14:paraId="31AD941A">
      <w:pPr>
        <w:pStyle w:val="30"/>
        <w:ind w:left="360"/>
        <w:rPr>
          <w:rFonts w:hint="eastAsia" w:ascii="Times New Roman" w:hAnsi="Times New Roman" w:eastAsia="宋体" w:cs="Times New Roman"/>
          <w:color w:val="FF0000"/>
          <w:sz w:val="24"/>
          <w:szCs w:val="28"/>
        </w:rPr>
      </w:pPr>
      <w:r>
        <w:rPr>
          <w:rFonts w:hint="eastAsia" w:ascii="Times New Roman" w:hAnsi="Times New Roman" w:eastAsia="宋体" w:cs="Times New Roman"/>
          <w:color w:val="FF0000"/>
          <w:sz w:val="24"/>
          <w:szCs w:val="28"/>
        </w:rPr>
        <w:t>请进行 rRNA 去除和功能表达定量，输出 public_RNA_KO_expression_matrix.tsv、public_RNA_pathway_expression_matrix.tsv，以及 Public HLB vs Public Healthy 的差异表达功能结果。</w:t>
      </w:r>
    </w:p>
    <w:p w14:paraId="61271C65">
      <w:pPr>
        <w:rPr>
          <w:rFonts w:hint="eastAsia" w:ascii="Times New Roman" w:hAnsi="Times New Roman" w:eastAsia="宋体" w:cs="Times New Roman"/>
          <w:color w:val="FF0000"/>
          <w:sz w:val="24"/>
          <w:szCs w:val="28"/>
        </w:rPr>
      </w:pPr>
    </w:p>
    <w:p w14:paraId="34792CCD">
      <w:pPr>
        <w:pStyle w:val="30"/>
        <w:ind w:left="360"/>
        <w:rPr>
          <w:rFonts w:hint="eastAsia" w:ascii="Times New Roman" w:hAnsi="Times New Roman" w:eastAsia="宋体" w:cs="Times New Roman"/>
          <w:color w:val="FF0000"/>
          <w:sz w:val="24"/>
          <w:szCs w:val="28"/>
        </w:rPr>
      </w:pPr>
    </w:p>
    <w:p w14:paraId="2D578233">
      <w:pPr>
        <w:pStyle w:val="30"/>
        <w:ind w:left="360"/>
        <w:rPr>
          <w:rFonts w:hint="eastAsia" w:ascii="Times New Roman" w:hAnsi="Times New Roman" w:eastAsia="宋体" w:cs="Times New Roman"/>
          <w:color w:val="FF0000"/>
          <w:sz w:val="24"/>
          <w:szCs w:val="28"/>
        </w:rPr>
      </w:pPr>
      <w:r>
        <w:rPr>
          <w:rFonts w:hint="eastAsia" w:ascii="Times New Roman" w:hAnsi="Times New Roman" w:eastAsia="宋体" w:cs="Times New Roman"/>
          <w:color w:val="FF0000"/>
          <w:sz w:val="24"/>
          <w:szCs w:val="28"/>
        </w:rPr>
        <w:t>请所有结果以 tsv/csv/xlsx 矩阵形式返回，并注明丰度标准化方法、过滤标准、数据库版本和统计方法。</w:t>
      </w:r>
    </w:p>
    <w:p w14:paraId="641F682C">
      <w:pPr>
        <w:pStyle w:val="30"/>
        <w:ind w:left="360"/>
        <w:rPr>
          <w:rFonts w:hint="eastAsia" w:ascii="Times New Roman" w:hAnsi="Times New Roman" w:eastAsia="宋体" w:cs="Times New Roman"/>
          <w:color w:val="FF0000"/>
          <w:sz w:val="24"/>
          <w:szCs w:val="28"/>
        </w:rPr>
      </w:pPr>
    </w:p>
    <w:p w14:paraId="3728E75B">
      <w:pPr>
        <w:pStyle w:val="30"/>
        <w:ind w:left="360"/>
        <w:rPr>
          <w:rFonts w:hint="eastAsia" w:ascii="Times New Roman" w:hAnsi="Times New Roman" w:eastAsia="宋体" w:cs="Times New Roman"/>
          <w:color w:val="FF0000"/>
          <w:sz w:val="24"/>
          <w:szCs w:val="28"/>
          <w:lang w:eastAsia="zh-CN"/>
        </w:rPr>
      </w:pPr>
      <w:r>
        <w:rPr>
          <w:rFonts w:hint="eastAsia" w:ascii="Times New Roman" w:hAnsi="Times New Roman" w:eastAsia="宋体" w:cs="Times New Roman"/>
          <w:color w:val="FF0000"/>
          <w:sz w:val="24"/>
          <w:szCs w:val="28"/>
          <w:lang w:eastAsia="zh-CN"/>
        </w:rPr>
        <w:t>（</w:t>
      </w:r>
      <w:r>
        <w:rPr>
          <w:rFonts w:hint="eastAsia" w:ascii="Times New Roman" w:hAnsi="Times New Roman" w:eastAsia="宋体" w:cs="Times New Roman"/>
          <w:color w:val="FF0000"/>
          <w:sz w:val="24"/>
          <w:szCs w:val="28"/>
          <w:lang w:val="en-US" w:eastAsia="zh-CN"/>
        </w:rPr>
        <w:t>第5个问题不做</w:t>
      </w:r>
      <w:r>
        <w:rPr>
          <w:rFonts w:hint="eastAsia" w:ascii="Times New Roman" w:hAnsi="Times New Roman" w:eastAsia="宋体" w:cs="Times New Roman"/>
          <w:color w:val="FF0000"/>
          <w:sz w:val="24"/>
          <w:szCs w:val="28"/>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ABF"/>
    <w:rsid w:val="00020F59"/>
    <w:rsid w:val="0015511E"/>
    <w:rsid w:val="00416584"/>
    <w:rsid w:val="00441253"/>
    <w:rsid w:val="004566F3"/>
    <w:rsid w:val="0063145B"/>
    <w:rsid w:val="006A513A"/>
    <w:rsid w:val="006B05C7"/>
    <w:rsid w:val="00750F29"/>
    <w:rsid w:val="00A12ABF"/>
    <w:rsid w:val="00BF00C2"/>
    <w:rsid w:val="00CB2489"/>
    <w:rsid w:val="00DB0D34"/>
    <w:rsid w:val="67D52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473</Words>
  <Characters>1402</Characters>
  <Lines>10</Lines>
  <Paragraphs>3</Paragraphs>
  <TotalTime>133</TotalTime>
  <ScaleCrop>false</ScaleCrop>
  <LinksUpToDate>false</LinksUpToDate>
  <CharactersWithSpaces>1499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2026-05-28T10:31:00Z</dcterms:created>
  <dc:creator>胜杰 林</dc:creator>
  <cp:lastModifiedBy>byzh2020</cp:lastModifiedBy>
  <dcterms:modified xsi:type="dcterms:W3CDTF">2026-06-09T07:56:26Z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eyJoZGlkIjoiY2Q4YTM2NDA4ZWExNDkyYTJlM2U5NmVmOTFkZWU5N2YiLCJ1c2VySWQiOiIxMDE1MDIxNjgxIn0=</vt:lpwstr>
  </property>
  <property fmtid="{D5CDD505-2E9C-101B-9397-08002B2CF9AE}" pid="3" name="KSOProductBuildVer">
    <vt:lpwstr>2052-12.1.0.26895</vt:lpwstr>
  </property>
  <property fmtid="{D5CDD505-2E9C-101B-9397-08002B2CF9AE}" pid="4" name="ICV">
    <vt:lpwstr>DB0A7623EA214C0B9CD863643537D6F7_12</vt:lpwstr>
  </property>
</Properties>
</file>