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9"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1" w:name="sec-sharing-preservation"/>
    <w:bookmarkStart w:id="100"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0" w:name="q-data-preservation"/>
    <w:bookmarkStart w:id="89" w:name="Xa8c609443403b9d52f6d5cf624192e40a08d20a"/>
    <w:p>
      <w:pPr>
        <w:pStyle w:val="Heading3"/>
      </w:pPr>
      <w:r>
        <w:t xml:space="preserve">11. How will data for preservation be selected, and where will data be preserved long-term (for example a data repository or archive)?</w:t>
      </w:r>
    </w:p>
    <w:bookmarkStart w:id="85"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 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5"/>
    <w:bookmarkStart w:id="86"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6"/>
    <w:bookmarkStart w:id="87"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7"/>
    <w:bookmarkStart w:id="88"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8"/>
    <w:p>
      <w:pPr>
        <w:pStyle w:val="BodyText"/>
      </w:pPr>
      <w:r>
        <w:t xml:space="preserve">Preservation selection still requires review: publication decisions and archive renewal criteria do not by themselves explain which datasets and versions must be retained or destroyed.</w:t>
      </w:r>
    </w:p>
    <w:bookmarkEnd w:id="89"/>
    <w:bookmarkEnd w:id="90"/>
    <w:bookmarkStart w:id="94" w:name="q-access-data"/>
    <w:bookmarkStart w:id="93" w:name="X34e5e056bcfb423fa04944f399f5e277d79199e"/>
    <w:p>
      <w:pPr>
        <w:pStyle w:val="Heading3"/>
      </w:pPr>
      <w:r>
        <w:t xml:space="preserve">12. What methods or software tools are needed to access and use data?</w:t>
      </w:r>
    </w:p>
    <w:bookmarkStart w:id="91"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1"/>
    <w:bookmarkStart w:id="92" w:name="internal-instrument-checks-2"/>
    <w:p>
      <w:pPr>
        <w:pStyle w:val="Heading5"/>
      </w:pPr>
      <w:r>
        <w:t xml:space="preserve">Internal instrument checks</w:t>
      </w:r>
    </w:p>
    <w:p>
      <w:pPr>
        <w:pStyle w:val="FirstParagraph"/>
      </w:pPr>
      <w:r>
        <w:t xml:space="preserve">This dataset will not be published.</w:t>
      </w:r>
    </w:p>
    <w:bookmarkEnd w:id="92"/>
    <w:bookmarkEnd w:id="93"/>
    <w:bookmarkEnd w:id="94"/>
    <w:bookmarkStart w:id="99" w:name="q-persistent-identifier"/>
    <w:bookmarkStart w:id="98" w:name="X81e9a4e5e10601fc6bd611e3d0bbab887e0ae34"/>
    <w:p>
      <w:pPr>
        <w:pStyle w:val="Heading3"/>
      </w:pPr>
      <w:r>
        <w:t xml:space="preserve">13. How will the application of a unique and persistent identifier (such as a Digital Object Identifier (DOI)) to each data set be ensured?</w:t>
      </w:r>
    </w:p>
    <w:bookmarkStart w:id="95"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5"/>
    <w:bookmarkStart w:id="96" w:name="internal-instrument-checks-3"/>
    <w:p>
      <w:pPr>
        <w:pStyle w:val="Heading5"/>
      </w:pPr>
      <w:r>
        <w:t xml:space="preserve">Internal instrument checks</w:t>
      </w:r>
    </w:p>
    <w:p>
      <w:pPr>
        <w:pStyle w:val="FirstParagraph"/>
      </w:pPr>
      <w:r>
        <w:t xml:space="preserve">This dataset will not be published.</w:t>
      </w:r>
    </w:p>
    <w:bookmarkEnd w:id="96"/>
    <w:bookmarkStart w:id="97"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7"/>
    <w:bookmarkEnd w:id="98"/>
    <w:bookmarkEnd w:id="99"/>
    <w:bookmarkEnd w:id="100"/>
    <w:bookmarkEnd w:id="101"/>
    <w:bookmarkStart w:id="108" w:name="sec-responsibilities-resources"/>
    <w:bookmarkStart w:id="107" w:name="X662c61ad5f65b2cf6bd2a16c99525d4cda861c7"/>
    <w:p>
      <w:pPr>
        <w:pStyle w:val="Heading2"/>
      </w:pPr>
      <w:r>
        <w:t xml:space="preserve">Section 6: Data management responsibilities and resources</w:t>
      </w:r>
    </w:p>
    <w:bookmarkStart w:id="103" w:name="q-dm-responsible"/>
    <w:bookmarkStart w:id="102"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2"/>
    <w:bookmarkEnd w:id="103"/>
    <w:bookmarkStart w:id="106" w:name="q-required-resources"/>
    <w:bookmarkStart w:id="105"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4"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2026-09-14T08:30:24Z</dcterms:created>
  <dcterms:modified xsi:type="dcterms:W3CDTF">2026-09-14T08:30:24Z</dcterms:modified>
</cp:coreProperties>
</file>

<file path=docProps/custom.xml><?xml version="1.0" encoding="utf-8"?>
<Properties xmlns="http://schemas.openxmlformats.org/officeDocument/2006/custom-properties" xmlns:vt="http://schemas.openxmlformats.org/officeDocument/2006/docPropsVTypes"/>
</file>