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The distributions will be stored in:</w:t>
      </w:r>
    </w:p>
    <w:p>
      <w:pPr>
        <w:pStyle w:val="PilotListLead"/>
        <w:numPr>
          <w:ilvl w:val="0"/>
          <w:numId w:val="1013"/>
        </w:numPr>
      </w:pPr>
      <w:r>
        <w:t xml:space="preserve">Our institutional repository.</w:t>
      </w:r>
    </w:p>
    <w:p>
      <w:pPr>
        <w:pStyle w:val="Compact"/>
        <w:numPr>
          <w:ilvl w:val="0"/>
          <w:numId w:val="1013"/>
        </w:numPr>
      </w:pPr>
      <w:r>
        <w:t xml:space="preserve">Special-purpose repository for the project.</w:t>
      </w:r>
      <w:r>
        <w:t xml:space="preserve"> </w:t>
      </w:r>
      <w:r>
        <w:t xml:space="preserve">Whether we will be able to support this repository for a sufficiently long time has not been specified.</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2026-09-14T06:26:10Z</dcterms:created>
  <dcterms:modified xsi:type="dcterms:W3CDTF">2026-09-14T06:26:10Z</dcterms:modified>
</cp:coreProperties>
</file>

<file path=docProps/custom.xml><?xml version="1.0" encoding="utf-8"?>
<Properties xmlns="http://schemas.openxmlformats.org/officeDocument/2006/custom-properties" xmlns:vt="http://schemas.openxmlformats.org/officeDocument/2006/docPropsVTypes"/>
</file>