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metadata follow-up experiment</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2"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2" w:name="sec-docs-metadata"/>
    <w:bookmarkStart w:id="61" w:name="section-2-documentation-and-data-quality"/>
    <w:p>
      <w:pPr>
        <w:pStyle w:val="Heading2"/>
      </w:pPr>
      <w:r>
        <w:t xml:space="preserve">Section 2: Documentation and data quality</w:t>
      </w:r>
    </w:p>
    <w:bookmarkStart w:id="58" w:name="q-docs-metadata"/>
    <w:bookmarkStart w:id="57"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We will create a data/variable dictionary. Metadata will not be available openly.</w:t>
      </w:r>
    </w:p>
    <w:p>
      <w:pPr>
        <w:pStyle w:val="PilotLead"/>
      </w:pPr>
      <w:r>
        <w:t xml:space="preserve">Access is restricted during the project.</w:t>
      </w:r>
    </w:p>
    <w:p>
      <w:pPr>
        <w:pStyle w:val="BodyText"/>
      </w:pPr>
      <w:r>
        <w:t xml:space="preserve">Keep</w:t>
      </w:r>
      <w:r>
        <w:t xml:space="preserve"> </w:t>
      </w:r>
      <w:r>
        <w:rPr>
          <w:b/>
          <w:bCs/>
        </w:rPr>
        <w:t xml:space="preserve">Original.csv</w:t>
      </w:r>
      <w:r>
        <w:t xml:space="preserve"> </w:t>
      </w:r>
      <w:r>
        <w:t xml:space="preserve">and document the decision.</w:t>
      </w:r>
    </w:p>
    <w:p>
      <w:pPr>
        <w:pStyle w:val="PilotListLead"/>
        <w:numPr>
          <w:ilvl w:val="0"/>
          <w:numId w:val="1007"/>
        </w:numPr>
      </w:pPr>
      <w:r>
        <w:t xml:space="preserve">Retain CHANGELOG.md.</w:t>
      </w:r>
    </w:p>
    <w:p>
      <w:pPr>
        <w:pStyle w:val="Compact"/>
        <w:numPr>
          <w:ilvl w:val="0"/>
          <w:numId w:val="1007"/>
        </w:numPr>
      </w:pPr>
      <w:r>
        <w:t xml:space="preserve">Review</w:t>
      </w:r>
      <w:r>
        <w:t xml:space="preserve"> </w:t>
      </w:r>
      <w:hyperlink r:id="rId55">
        <w:r>
          <w:rPr>
            <w:rStyle w:val="Hyperlink"/>
          </w:rPr>
          <w:t xml:space="preserve">access conditions</w:t>
        </w:r>
      </w:hyperlink>
      <w:r>
        <w:t xml:space="preserve">.</w:t>
      </w:r>
    </w:p>
    <w:bookmarkStart w:id="56"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6"/>
    <w:bookmarkEnd w:id="57"/>
    <w:bookmarkEnd w:id="58"/>
    <w:bookmarkStart w:id="60" w:name="q-quality-control"/>
    <w:bookmarkStart w:id="59"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9"/>
    <w:bookmarkEnd w:id="60"/>
    <w:bookmarkEnd w:id="61"/>
    <w:bookmarkEnd w:id="62"/>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r>
        <w:br/>
      </w:r>
      <w:r>
        <w:t xml:space="preserve">The fields mapped by this template are insufficient to establish the following operational details:</w:t>
      </w:r>
    </w:p>
    <w:p>
      <w:pPr>
        <w:pStyle w:val="PilotListLead"/>
        <w:numPr>
          <w:ilvl w:val="0"/>
          <w:numId w:val="1008"/>
        </w:numPr>
      </w:pPr>
      <w:r>
        <w:t xml:space="preserve">Exact working-storage and backup locations are not established by these mapped answers.</w:t>
      </w:r>
    </w:p>
    <w:p>
      <w:pPr>
        <w:pStyle w:val="Compact"/>
        <w:numPr>
          <w:ilvl w:val="0"/>
          <w:numId w:val="1008"/>
        </w:numPr>
      </w:pPr>
      <w:r>
        <w:t xml:space="preserve">An actual backup schedule is not established by these mapped answers; a need for frequent backups is not a schedule.</w:t>
      </w:r>
    </w:p>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9"/>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9"/>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0"/>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1"/>
        </w:numPr>
      </w:pPr>
      <w:r>
        <w:rPr>
          <w:b/>
          <w:bCs/>
        </w:rPr>
        <w:t xml:space="preserve">Quality-checked coastal observations</w:t>
      </w:r>
    </w:p>
    <w:p>
      <w:pPr>
        <w:pStyle w:val="Compact"/>
        <w:numPr>
          <w:ilvl w:val="1"/>
          <w:numId w:val="1012"/>
        </w:numPr>
      </w:pPr>
      <w:r>
        <w:t xml:space="preserve">It does not contain personal data. It does not contain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94" w:name="sec-sharing-preservation"/>
    <w:bookmarkStart w:id="93" w:name="Xae018e5b183161e16f62bc5d352ef4230239515"/>
    <w:p>
      <w:pPr>
        <w:pStyle w:val="Heading2"/>
      </w:pPr>
      <w:r>
        <w:t xml:space="preserve">Section 5: Data sharing and long-term preservation</w:t>
      </w:r>
    </w:p>
    <w:bookmarkStart w:id="82" w:name="q-share-restrictions"/>
    <w:bookmarkStart w:id="81" w:name="X8982c72ae9ec4f0c2653e8f851cb3cc0b636f01"/>
    <w:p>
      <w:pPr>
        <w:pStyle w:val="Heading3"/>
      </w:pPr>
      <w:r>
        <w:t xml:space="preserve">10. How and when will data be shared? Are there possible restrictions to data sharing or embargo reasons?</w:t>
      </w:r>
    </w:p>
    <w:bookmarkStart w:id="80"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80"/>
    <w:bookmarkEnd w:id="81"/>
    <w:bookmarkEnd w:id="82"/>
    <w:bookmarkStart w:id="85" w:name="q-data-preservation"/>
    <w:bookmarkStart w:id="84" w:name="Xa8c609443403b9d52f6d5cf624192e40a08d20a"/>
    <w:p>
      <w:pPr>
        <w:pStyle w:val="Heading3"/>
      </w:pPr>
      <w:r>
        <w:t xml:space="preserve">11. How will data for preservation be selected, and where will data be preserved long-term (for example a data repository or archive)?</w:t>
      </w:r>
    </w:p>
    <w:bookmarkStart w:id="83"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3"/>
        </w:numPr>
      </w:pPr>
      <w:r>
        <w:t xml:space="preserve">Our institutional repository.</w:t>
      </w:r>
    </w:p>
    <w:bookmarkEnd w:id="83"/>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4"/>
    <w:bookmarkEnd w:id="85"/>
    <w:bookmarkStart w:id="88" w:name="q-access-data"/>
    <w:bookmarkStart w:id="87" w:name="X34e5e056bcfb423fa04944f399f5e277d79199e"/>
    <w:p>
      <w:pPr>
        <w:pStyle w:val="Heading3"/>
      </w:pPr>
      <w:r>
        <w:t xml:space="preserve">12. What methods or software tools are needed to access and use data?</w:t>
      </w:r>
    </w:p>
    <w:bookmarkStart w:id="86"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86"/>
    <w:bookmarkEnd w:id="87"/>
    <w:bookmarkEnd w:id="88"/>
    <w:bookmarkStart w:id="92" w:name="q-persistent-identifier"/>
    <w:bookmarkStart w:id="91" w:name="X81e9a4e5e10601fc6bd611e3d0bbab887e0ae34"/>
    <w:p>
      <w:pPr>
        <w:pStyle w:val="Heading3"/>
      </w:pPr>
      <w:r>
        <w:t xml:space="preserve">13. How will the application of a unique and persistent identifier (such as a Digital Object Identifier (DOI)) to each data set be ensured?</w:t>
      </w:r>
    </w:p>
    <w:bookmarkStart w:id="89"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9"/>
    <w:bookmarkStart w:id="90"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0"/>
    <w:bookmarkEnd w:id="91"/>
    <w:bookmarkEnd w:id="92"/>
    <w:bookmarkEnd w:id="93"/>
    <w:bookmarkEnd w:id="94"/>
    <w:bookmarkStart w:id="101" w:name="sec-responsibilities-resources"/>
    <w:bookmarkStart w:id="100" w:name="X662c61ad5f65b2cf6bd2a16c99525d4cda861c7"/>
    <w:p>
      <w:pPr>
        <w:pStyle w:val="Heading2"/>
      </w:pPr>
      <w:r>
        <w:t xml:space="preserve">Section 6: Data management responsibilities and resources</w:t>
      </w:r>
    </w:p>
    <w:bookmarkStart w:id="96" w:name="q-dm-responsible"/>
    <w:bookmarkStart w:id="95"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5"/>
    <w:bookmarkEnd w:id="96"/>
    <w:bookmarkStart w:id="99" w:name="q-required-resources"/>
    <w:bookmarkStart w:id="98"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PilotListLead"/>
        <w:numPr>
          <w:ilvl w:val="0"/>
          <w:numId w:val="1016"/>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7"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7"/>
    <w:bookmarkEnd w:id="98"/>
    <w:bookmarkEnd w:id="99"/>
    <w:bookmarkEnd w:id="100"/>
    <w:bookmarkEnd w:id="101"/>
    <w:bookmarkEnd w:id="102"/>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55" Target="https://example.org/metadata-policy?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55" Target="https://example.org/metadata-policy?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2026-09-17T06:54:58Z</dcterms:created>
  <dcterms:modified xsi:type="dcterms:W3CDTF">2026-09-17T06:54:58Z</dcterms:modified>
</cp:coreProperties>
</file>

<file path=docProps/custom.xml><?xml version="1.0" encoding="utf-8"?>
<Properties xmlns="http://schemas.openxmlformats.org/officeDocument/2006/custom-properties" xmlns:vt="http://schemas.openxmlformats.org/officeDocument/2006/docPropsVTypes"/>
</file>