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personal-followups-empty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0" w:name="sec-ethics-legal"/>
    <w:bookmarkStart w:id="79" w:name="Xe6fee8bd257fbf8fda017dae8c75e8fb2ac3d63"/>
    <w:p>
      <w:pPr>
        <w:pStyle w:val="Heading2"/>
      </w:pPr>
      <w:r>
        <w:t xml:space="preserve">Section 4: Legal and ethical requirements, codes of conduct</w:t>
      </w:r>
    </w:p>
    <w:bookmarkStart w:id="71" w:name="q-personal-data"/>
    <w:bookmarkStart w:id="70" w:name="X518bc2a691dd52e1e9a68e876af077d262a87ac"/>
    <w:p>
      <w:pPr>
        <w:pStyle w:val="Heading3"/>
      </w:pPr>
      <w:r>
        <w:t xml:space="preserve">7. If personal data are processed, how will compliance with legislation on personal data and on security be ensured?</w:t>
      </w:r>
    </w:p>
    <w:p>
      <w:pPr>
        <w:pStyle w:val="PilotLead"/>
      </w:pPr>
      <w:r>
        <w:rPr>
          <w:b/>
          <w:bCs/>
        </w:rPr>
        <w:t xml:space="preserve">Information not provided:</w:t>
      </w:r>
      <w:r>
        <w:t xml:space="preserve"> </w:t>
      </w:r>
      <w:r>
        <w:t xml:space="preserve">the alternative legal basis selected for collecting and processing personal data.</w:t>
      </w:r>
    </w:p>
    <w:bookmarkStart w:id="69" w:name="technical-and-procedural-measures"/>
    <w:p>
      <w:pPr>
        <w:pStyle w:val="Heading4"/>
      </w:pPr>
      <w:r>
        <w:t xml:space="preserve">Technical and procedural measures</w:t>
      </w:r>
    </w:p>
    <w:p>
      <w:pPr>
        <w:pStyle w:val="FirstParagraph"/>
      </w:pPr>
      <w:r>
        <w:rPr>
          <w:b/>
          <w:bCs/>
        </w:rPr>
        <w:t xml:space="preserve">Information not provided:</w:t>
      </w:r>
      <w:r>
        <w:t xml:space="preserve"> </w:t>
      </w:r>
      <w:r>
        <w:t xml:space="preserve">whether the stored data are anonymized, pseudonymized, or identifiable.</w:t>
      </w:r>
    </w:p>
    <w:p>
      <w:pPr>
        <w:pStyle w:val="BodyText"/>
      </w:pPr>
      <w:r>
        <w:rPr>
          <w:b/>
          <w:bCs/>
        </w:rPr>
        <w:t xml:space="preserve">Information not provided:</w:t>
      </w:r>
      <w:r>
        <w:t xml:space="preserve"> </w:t>
      </w:r>
      <w:r>
        <w:t xml:space="preserve">details of any other technical and procedural safeguards.</w:t>
      </w:r>
    </w:p>
    <w:p>
      <w:pPr>
        <w:pStyle w:val="BodyText"/>
      </w:pPr>
      <w:r>
        <w:rPr>
          <w:b/>
          <w:bCs/>
        </w:rPr>
        <w:t xml:space="preserve">Information not provided:</w:t>
      </w:r>
      <w:r>
        <w:t xml:space="preserve"> </w:t>
      </w:r>
      <w:r>
        <w:t xml:space="preserve">whether data will be transferred outside the EU/EEA.</w:t>
      </w:r>
    </w:p>
    <w:bookmarkEnd w:id="69"/>
    <w:bookmarkEnd w:id="70"/>
    <w:bookmarkEnd w:id="71"/>
    <w:bookmarkStart w:id="73" w:name="q-copyright-ipr"/>
    <w:bookmarkStart w:id="72"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2"/>
    <w:bookmarkEnd w:id="73"/>
    <w:bookmarkStart w:id="78" w:name="q-ethical-issues"/>
    <w:bookmarkStart w:id="77" w:name="X6aa3741e257707022ba9bd9d7b697c4cc159f38"/>
    <w:p>
      <w:pPr>
        <w:pStyle w:val="Heading3"/>
      </w:pPr>
      <w:r>
        <w:t xml:space="preserve">9. What ethical issues and codes of conduct are there, and how will they be taken into account?</w:t>
      </w:r>
    </w:p>
    <w:bookmarkStart w:id="74"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4"/>
    <w:bookmarkStart w:id="75"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5"/>
    <w:bookmarkStart w:id="76" w:name="data-we-collect"/>
    <w:p>
      <w:pPr>
        <w:pStyle w:val="Heading4"/>
      </w:pPr>
      <w:r>
        <w:t xml:space="preserve">Data we collect</w:t>
      </w:r>
    </w:p>
    <w:p>
      <w:pPr>
        <w:pStyle w:val="FirstParagraph"/>
      </w:pPr>
      <w:r>
        <w:t xml:space="preserve">We will collect data related to individuals, i.e. "personal data". An alternative legal basis was selected, but it has not been specified; see Question 7.</w:t>
      </w:r>
    </w:p>
    <w:bookmarkEnd w:id="76"/>
    <w:bookmarkEnd w:id="77"/>
    <w:bookmarkEnd w:id="78"/>
    <w:bookmarkEnd w:id="79"/>
    <w:bookmarkEnd w:id="80"/>
    <w:bookmarkStart w:id="103" w:name="sec-sharing-preservation"/>
    <w:bookmarkStart w:id="102"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1">
        <w:r>
          <w:rPr>
            <w:rStyle w:val="Hyperlink"/>
          </w:rPr>
          <w:t xml:space="preserve">https://example.org/coast/review-terms</w:t>
        </w:r>
      </w:hyperlink>
      <w:r>
        <w:t xml:space="preserve">.</w:t>
      </w:r>
    </w:p>
    <w:bookmarkEnd w:id="82"/>
    <w:bookmarkStart w:id="83" w:name="internal-instrument-checks"/>
    <w:p>
      <w:pPr>
        <w:pStyle w:val="Heading5"/>
      </w:pPr>
      <w:r>
        <w:t xml:space="preserve">Internal instrument checks</w:t>
      </w:r>
    </w:p>
    <w:p>
      <w:pPr>
        <w:pStyle w:val="FirstParagraph"/>
      </w:pPr>
      <w:r>
        <w:t xml:space="preserve">This dataset will not be published.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6" w:name="q-access-data"/>
    <w:bookmarkStart w:id="95" w:name="X34e5e056bcfb423fa04944f399f5e277d79199e"/>
    <w:p>
      <w:pPr>
        <w:pStyle w:val="Heading3"/>
      </w:pPr>
      <w:r>
        <w:t xml:space="preserve">12. What methods or software tools are needed to access and use data?</w:t>
      </w:r>
    </w:p>
    <w:bookmarkStart w:id="93"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internal-instrument-checks-2"/>
    <w:p>
      <w:pPr>
        <w:pStyle w:val="Heading5"/>
      </w:pPr>
      <w:r>
        <w:t xml:space="preserve">Internal instrument checks</w:t>
      </w:r>
    </w:p>
    <w:p>
      <w:pPr>
        <w:pStyle w:val="FirstParagraph"/>
      </w:pPr>
      <w:r>
        <w:t xml:space="preserve">This dataset will not be published.</w:t>
      </w:r>
    </w:p>
    <w:bookmarkEnd w:id="94"/>
    <w:bookmarkEnd w:id="95"/>
    <w:bookmarkEnd w:id="96"/>
    <w:bookmarkStart w:id="101" w:name="q-persistent-identifier"/>
    <w:bookmarkStart w:id="100" w:name="X81e9a4e5e10601fc6bd611e3d0bbab887e0ae34"/>
    <w:p>
      <w:pPr>
        <w:pStyle w:val="Heading3"/>
      </w:pPr>
      <w:r>
        <w:t xml:space="preserve">13. How will the application of a unique and persistent identifier (such as a Digital Object Identifier (DOI)) to each data set be ensured?</w:t>
      </w:r>
    </w:p>
    <w:bookmarkStart w:id="9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7"/>
    <w:bookmarkStart w:id="98" w:name="internal-instrument-checks-3"/>
    <w:p>
      <w:pPr>
        <w:pStyle w:val="Heading5"/>
      </w:pPr>
      <w:r>
        <w:t xml:space="preserve">Internal instrument checks</w:t>
      </w:r>
    </w:p>
    <w:p>
      <w:pPr>
        <w:pStyle w:val="FirstParagraph"/>
      </w:pPr>
      <w:r>
        <w:t xml:space="preserve">This dataset will not be published.</w:t>
      </w:r>
    </w:p>
    <w:bookmarkEnd w:id="98"/>
    <w:bookmarkStart w:id="99"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9"/>
    <w:bookmarkEnd w:id="100"/>
    <w:bookmarkEnd w:id="101"/>
    <w:bookmarkEnd w:id="102"/>
    <w:bookmarkEnd w:id="103"/>
    <w:bookmarkStart w:id="110" w:name="sec-responsibilities-resources"/>
    <w:bookmarkStart w:id="109" w:name="X662c61ad5f65b2cf6bd2a16c99525d4cda861c7"/>
    <w:p>
      <w:pPr>
        <w:pStyle w:val="Heading2"/>
      </w:pPr>
      <w:r>
        <w:t xml:space="preserve">Section 6: Data management responsibilities and resources</w:t>
      </w:r>
    </w:p>
    <w:bookmarkStart w:id="105" w:name="q-dm-responsible"/>
    <w:bookmarkStart w:id="10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4"/>
    <w:bookmarkEnd w:id="105"/>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2026-09-15T06:42:21Z</dcterms:created>
  <dcterms:modified xsi:type="dcterms:W3CDTF">2026-09-15T06:42:21Z</dcterms:modified>
</cp:coreProperties>
</file>

<file path=docProps/custom.xml><?xml version="1.0" encoding="utf-8"?>
<Properties xmlns="http://schemas.openxmlformats.org/officeDocument/2006/custom-properties" xmlns:vt="http://schemas.openxmlformats.org/officeDocument/2006/docPropsVTypes"/>
</file>