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d2d5a076d0defe0bad71128a4cc4e30453a3ee8"/>
    <w:p>
      <w:pPr>
        <w:pStyle w:val="Heading1"/>
      </w:pPr>
      <w:r>
        <w:t xml:space="preserve">Public Q9 prompt ownership controls / ethics-missing</w:t>
      </w:r>
    </w:p>
    <w:p>
      <w:pPr>
        <w:pStyle w:val="FirstParagraph"/>
      </w:pPr>
      <w:r>
        <w:t xml:space="preserve">Generated on 2026-09-22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alternative legal basis selected for collecting and processing personal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Original-2.csv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An alternative legal basis was selected, but it has not been specified; see Question 7.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2026-09-22T02:21:52Z</dcterms:created>
  <dcterms:modified xsi:type="dcterms:W3CDTF">2026-09-22T02:21:52Z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