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mapped answers describe storage arrangements and backup needs, but do not establish all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The distributions will be stored in:</w:t>
      </w:r>
    </w:p>
    <w:p>
      <w:pPr>
        <w:pStyle w:val="Compact"/>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Compact"/>
        <w:numPr>
          <w:ilvl w:val="0"/>
          <w:numId w:val="1015"/>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2026-09-14T04:19:35Z</dcterms:created>
  <dcterms:modified xsi:type="dcterms:W3CDTF">2026-09-14T04:19:35Z</dcterms:modified>
</cp:coreProperties>
</file>

<file path=docProps/custom.xml><?xml version="1.0" encoding="utf-8"?>
<Properties xmlns="http://schemas.openxmlformats.org/officeDocument/2006/custom-properties" xmlns:vt="http://schemas.openxmlformats.org/officeDocument/2006/docPropsVTypes"/>
</file>