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retention experiment / structured</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上述對應回答已說明儲存安排與備份需求，但尚無法據此確認所有執行細節：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資料的發布版本將存放於：</w:t>
      </w:r>
    </w:p>
    <w:p>
      <w:pPr>
        <w:pStyle w:val="Compact"/>
        <w:numPr>
          <w:ilvl w:val="0"/>
          <w:numId w:val="1012"/>
        </w:numPr>
      </w:pPr>
      <w:r>
        <w:rPr>
          <w:rFonts w:hint="eastAsia"/>
        </w:rPr>
        <w:t xml:space="preserve">我們的機構資料儲存庫。</w:t>
      </w:r>
    </w:p>
    <w:bookmarkEnd w:id="82"/>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Compact"/>
        <w:numPr>
          <w:ilvl w:val="0"/>
          <w:numId w:val="1015"/>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2026-09-14T04:27:42Z</dcterms:created>
  <dcterms:modified xsi:type="dcterms:W3CDTF">2026-09-14T04:27:42Z</dcterms:modified>
</cp:coreProperties>
</file>

<file path=docProps/custom.xml><?xml version="1.0" encoding="utf-8"?>
<Properties xmlns="http://schemas.openxmlformats.org/officeDocument/2006/custom-properties" xmlns:vt="http://schemas.openxmlformats.org/officeDocument/2006/docPropsVTypes"/>
</file>