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kapit-naglowka"/>
      </w:pPr>
      <w:r>
        <w:rPr>
          <w:rStyle w:val="znaki-naglowka"/>
        </w:rPr>
        <w:t>KARTA BADAŃ I POMIARÓW CZYNNIKÓW SZKODLIWYCH</w:t>
      </w:r>
    </w:p>
    <w:p>
      <w:pPr>
        <w:pStyle w:val="akapit-stopki"/>
      </w:pPr>
      <w:r>
        <w:rPr>
          <w:rStyle w:val="znaki-naglowka"/>
        </w:rPr>
      </w:r>
    </w:p>
    <w:p>
      <w:pPr>
        <w:pStyle w:val="akapit-naglowka"/>
      </w:pPr>
      <w:r>
        <w:rPr>
          <w:rStyle w:val="znaki-naglowka"/>
        </w:rPr>
        <w:t>CZYNNIK FIZYCZNY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Hałas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05.07.2017r.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[miejsce_pomiaru]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PN-EN ISO 9612:2011 (strategia 1 – punkt 9) i PN-N-01307:1994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Poziom ekspozycji na hałas [dB]: 78.3</w:t>
            </w:r>
          </w:p>
          <w:p>
            <w:pPr>
              <w:jc w:val="left"/>
            </w:pPr>
            <w:r>
              <w:rPr>
                <w:rStyle w:val="znaki-tabelki"/>
              </w:rPr>
              <w:t>Maksymalny poziom A [dB]: 86</w:t>
            </w:r>
          </w:p>
          <w:p>
            <w:pPr>
              <w:jc w:val="left"/>
            </w:pPr>
            <w:r>
              <w:rPr>
                <w:rStyle w:val="znaki-tabelki"/>
              </w:rPr>
              <w:t>Szczytowy poziom C [dB]: 105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poziomu ekspozycji na hałas [dB]: 85</w:t>
            </w:r>
          </w:p>
          <w:p>
            <w:pPr>
              <w:jc w:val="left"/>
            </w:pPr>
            <w:r>
              <w:rPr>
                <w:rStyle w:val="znaki-tabelki"/>
              </w:rPr>
              <w:t>Wartość dopuszczalna maksymalnego poziomu dźwięku A [dB]: 115</w:t>
            </w:r>
          </w:p>
          <w:p>
            <w:pPr>
              <w:spacing w:after="60"/>
              <w:jc w:val="left"/>
            </w:pPr>
            <w:r>
              <w:rPr>
                <w:rStyle w:val="znaki-tabelki"/>
              </w:rPr>
              <w:t>Wartość dopuszczalna szczytowego poziomu dźwięku C [dB]: 135</w:t>
            </w:r>
          </w:p>
          <w:p>
            <w:pPr>
              <w:jc w:val="left"/>
            </w:pPr>
            <w:r>
              <w:rPr>
                <w:rStyle w:val="znaki-tabelki"/>
              </w:rPr>
              <w:t>Nie stwierdzono przekroczenia dopuszczalnych wartości parametrów hałasu.</w:t>
            </w:r>
          </w:p>
          <w:p>
            <w:pPr>
              <w:spacing w:before="60" w:after="20"/>
              <w:jc w:val="left"/>
            </w:pPr>
            <w:r>
              <w:rPr>
                <w:rStyle w:val="znaki-tabelki"/>
              </w:rPr>
              <w:t>Krotność dopuszczalnego poziomu ekspozycji: 0.21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stolarz-malarz</w:t>
            </w:r>
          </w:p>
        </w:tc>
      </w:tr>
    </w:tbl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Aceton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05.07.2017r.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[miejsce_pomiaru]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Cw=51.8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219.90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/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600</w:t>
            </w:r>
          </w:p>
          <w:p>
            <w:pPr>
              <w:jc w:val="left"/>
            </w:pPr>
            <w:r>
              <w:rPr>
                <w:rStyle w:val="znaki-tabelki"/>
              </w:rPr>
              <w:t>Wartość dopuszczalna stężenia chwilowego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1800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0.09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najwyższego stężenia chwilowego: 0.12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stolarz-malarz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Octan etylu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05.07.2017r.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[miejsce_pomiaru]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Cw&lt;0.5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&lt;0.50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/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734</w:t>
            </w:r>
          </w:p>
          <w:p>
            <w:pPr>
              <w:jc w:val="left"/>
            </w:pPr>
            <w:r>
              <w:rPr>
                <w:rStyle w:val="znaki-tabelki"/>
              </w:rPr>
              <w:t>Wartość dopuszczalna stężenia chwilowego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1468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&lt;0.01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najwyższego stężenia chwilowego: &lt;0.01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stolarz-malarz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9.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Uwagi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Stężenie poniżej oznaczalności – poniżej 0.5</w:t>
            </w:r>
            <w:r>
              <w:rPr>
                <w:rStyle w:val="znaki-tabelki"/>
              </w:rPr>
              <w:t xml:space="preserve">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poniżej oznaczalności – poniżej -</w:t>
            </w:r>
            <w:r>
              <w:rPr>
                <w:rStyle w:val="znaki-tabelki"/>
              </w:rPr>
              <w:t xml:space="preserve">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Octan izobutylu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05.07.2017r.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[miejsce_pomiaru]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Cw&lt;1.3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3.50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/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200</w:t>
            </w:r>
          </w:p>
          <w:p>
            <w:pPr>
              <w:jc w:val="left"/>
            </w:pPr>
            <w:r>
              <w:rPr>
                <w:rStyle w:val="znaki-tabelki"/>
              </w:rPr>
              <w:t>Wartość dopuszczalna stężenia chwilowego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400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&lt;0.01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najwyższego stężenia chwilowego: 0.01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stolarz-malarz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9.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Uwagi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Stężenie poniżej oznaczalności – poniżej 1.3</w:t>
            </w:r>
            <w:r>
              <w:rPr>
                <w:rStyle w:val="znaki-tabelki"/>
              </w:rPr>
              <w:t xml:space="preserve">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Octan n-butylu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05.07.2017r.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[miejsce_pomiaru]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Cw=67.4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300.10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/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200</w:t>
            </w:r>
          </w:p>
          <w:p>
            <w:pPr>
              <w:jc w:val="left"/>
            </w:pPr>
            <w:r>
              <w:rPr>
                <w:rStyle w:val="znaki-tabelki"/>
              </w:rPr>
              <w:t>Wartość dopuszczalna stężenia chwilowego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950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Najwyższe stężenie chwilowe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0.34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najwyższego stężenia chwilowego: 0.32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stolarz-malarz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sectPr w:rsidR="00FC693F" w:rsidRPr="0006063C" w:rsidSect="00034616"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kapit-naglowka">
    <w:name w:val="akapit-naglowka"/>
    <w:basedOn w:val="Normal"/>
    <w:pPr>
      <w:widowControl/>
      <w:spacing w:lineRule="auto" w:line="240" w:before="60" w:after="60"/>
      <w:jc w:val="center"/>
    </w:pPr>
  </w:style>
  <w:style w:type="character" w:customStyle="1" w:styleId="znaki-naglowka">
    <w:name w:val="znaki-naglowka"/>
    <w:basedOn w:val="DefaultParagraphFont"/>
    <w:rPr>
      <w:rFonts w:ascii="Times New Roman" w:hAnsi="Times New Roman"/>
      <w:b/>
      <w:sz w:val="20"/>
    </w:rPr>
  </w:style>
  <w:style w:type="table" w:customStyle="1" w:styleId="tabelka">
    <w:name w:val="tabelka"/>
    <w:basedOn w:val="TableGrid"/>
    <w:pPr>
      <w:keepLines/>
      <w:spacing w:before="30" w:after="30"/>
    </w:pPr>
  </w:style>
  <w:style w:type="character" w:customStyle="1" w:styleId="znaki-tabelki">
    <w:name w:val="znaki-tabelki"/>
    <w:basedOn w:val="DefaultParagraphFont"/>
    <w:rPr>
      <w:rFonts w:ascii="Times New Roman" w:hAnsi="Times New Roman"/>
      <w:sz w:val="20"/>
    </w:rPr>
  </w:style>
  <w:style w:type="paragraph" w:customStyle="1" w:styleId="akapit-stopki">
    <w:name w:val="akapit-stopki"/>
    <w:basedOn w:val="Normal"/>
    <w:pPr>
      <w:widowControl/>
      <w:spacing w:lineRule="auto" w:line="240" w:before="0" w:after="0"/>
      <w:jc w:val="left"/>
    </w:pPr>
  </w:style>
  <w:style w:type="character" w:customStyle="1" w:styleId="znaki-stopki">
    <w:name w:val="znaki-stopki"/>
    <w:basedOn w:val="DefaultParagraphFont"/>
    <w:rPr>
      <w:rFonts w:ascii="Times New Roman" w:hAnsi="Times New Roman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