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before="0" w:after="100" w:line="240" w:lineRule="auto"/>
      </w:pPr>
      <w:r>
        <w:rPr>
          <w:rFonts w:ascii="Times New Roman" w:hAnsi="Times New Roman" w:eastAsia="宋体" w:cs="Times New Roman"/>
          <w:b/>
          <w:i w:val="0"/>
          <w:color w:val="000000"/>
          <w:sz w:val="36"/>
        </w:rPr>
        <w:t>三维格网接入层口径勘误与修正说明</w:t>
      </w:r>
    </w:p>
    <w:p>
      <w:pPr>
        <w:spacing w:before="0" w:after="140" w:line="259" w:lineRule="auto"/>
      </w:pPr>
      <w:r>
        <w:rPr>
          <w:rFonts w:ascii="Times New Roman" w:hAnsi="Times New Roman" w:eastAsia="宋体" w:cs="Times New Roman"/>
          <w:b w:val="0"/>
          <w:i w:val="0"/>
          <w:sz w:val="27"/>
        </w:rPr>
        <w:t>时间树原点、定长键位序与量化字典三组冲突的复算与处置</w:t>
      </w:r>
    </w:p>
    <w:p>
      <w:pPr>
        <w:spacing w:before="0" w:after="120" w:line="259" w:lineRule="auto"/>
      </w:pPr>
      <w:r>
        <w:rPr>
          <w:rFonts w:ascii="Times New Roman" w:hAnsi="Times New Roman" w:eastAsia="宋体" w:cs="Times New Roman"/>
          <w:b w:val="0"/>
          <w:i w:val="0"/>
          <w:sz w:val="21"/>
        </w:rPr>
        <w:t>本文针对《三维格网数据统一接入隐私计算体系》既有交付物做一次逐项复算。复算对象是交接文档、格网数据样例 JSON、两份方案文档与两份汇报稿中共同出现的三十余处数值与规则。复算目的是在接入层规范固化之前，把跨文档不一致的口径收敛到单一版本。全部结论可由随附脚本 work/audit_consistency.py 与 work/solve_origin.py 重跑复现，不依赖人工目视。</w:t>
      </w:r>
    </w:p>
    <w:p>
      <w:pPr>
        <w:spacing w:before="0" w:after="120" w:line="259" w:lineRule="auto"/>
      </w:pPr>
      <w:r>
        <w:rPr>
          <w:rFonts w:ascii="Times New Roman" w:hAnsi="Times New Roman" w:eastAsia="宋体" w:cs="Times New Roman"/>
          <w:b w:val="0"/>
          <w:i w:val="0"/>
          <w:sz w:val="21"/>
        </w:rPr>
        <w:t>结论先行。共发现六项需要修正的口径，其中三项等级为高，直接落在第 1–2 周接入层规范落地这条关键路径上：时间树的 Toff=0 锚点与窗口起点不重合，导致全部时间节点都不是合法的二叉节点，规范分解与 720 倍口径无法复现；定长键的位序与总位宽在两份文档间相差 4 位；属性 A02 的值域在两份文档间相差 50 倍。这三项都涉及主键格式与量化字典，一旦数据落库即难以低成本回改。另有三项等级为中，分别是窗口常量用单节点表达、两个业务阈值未精确落在箱边界，以及取整规则未写死。此外有十一项口径复算一致，无需改动。</w:t>
      </w:r>
    </w:p>
    <w:p>
      <w:pPr>
        <w:keepNext/>
        <w:spacing w:before="180" w:after="80" w:line="252" w:lineRule="auto"/>
      </w:pPr>
      <w:r>
        <w:rPr>
          <w:rFonts w:ascii="Times New Roman" w:hAnsi="Times New Roman" w:eastAsia="宋体" w:cs="Times New Roman"/>
          <w:b/>
          <w:i w:val="0"/>
          <w:sz w:val="26"/>
        </w:rPr>
        <w:t>一　复算方法与判定标准</w:t>
      </w:r>
    </w:p>
    <w:p>
      <w:pPr>
        <w:spacing w:before="0" w:after="80" w:line="259" w:lineRule="auto"/>
      </w:pPr>
      <w:r>
        <w:rPr>
          <w:rFonts w:ascii="Times New Roman" w:hAnsi="Times New Roman" w:eastAsia="宋体" w:cs="Times New Roman"/>
          <w:b w:val="0"/>
          <w:i w:val="0"/>
          <w:sz w:val="21"/>
        </w:rPr>
        <w:t>复算按可执行的方式做，而不是逐字比对。四类检查各自有独立的判定标准：位段回环把样例给出的分段值重新拼接为 64 位整数，要求结果与文档所载十六进制逐位相同；量化检查按 q 等于 (v 减 min) 除以 (max 减 min) 再乘 255 的取整结果，同时把业务阈值代回同一公式，检查其箱号是否为整数；时间检查把每个时间节点还原为二叉时间树上的区间，要求区间满足对齐、完全包含于有效期、且父节点不完全包含三个条件；代价检查按四量定义重算密文条数与下降倍数。</w:t>
      </w:r>
    </w:p>
    <w:p>
      <w:pPr>
        <w:spacing w:before="0" w:after="80" w:line="259" w:lineRule="auto"/>
      </w:pPr>
      <w:r>
        <w:rPr>
          <w:rFonts w:ascii="Times New Roman" w:hAnsi="Times New Roman" w:eastAsia="宋体" w:cs="Times New Roman"/>
          <w:b w:val="0"/>
          <w:i w:val="0"/>
          <w:sz w:val="21"/>
        </w:rPr>
        <w:t>判定为需要修正的标准有两条，满足任一条即计入：其一，同一量在不同文档中取值不同，或与自身文字表述矛盾；其二，该量虽在文档内自洽，但不满足其所依附的机制前提，例如节点不满足二叉对齐却用于规范分解。仅当量值一致且机制前提成立时，才判为通过。</w:t>
      </w:r>
    </w:p>
    <w:p>
      <w:pPr>
        <w:keepNext/>
        <w:spacing w:before="180" w:after="80" w:line="252" w:lineRule="auto"/>
      </w:pPr>
      <w:r>
        <w:rPr>
          <w:rFonts w:ascii="Times New Roman" w:hAnsi="Times New Roman" w:eastAsia="宋体" w:cs="Times New Roman"/>
          <w:b/>
          <w:i w:val="0"/>
          <w:sz w:val="26"/>
        </w:rPr>
        <w:t>二　需要修正的口径</w:t>
      </w:r>
    </w:p>
    <w:p>
      <w:pPr>
        <w:keepNext/>
        <w:spacing w:before="120" w:after="60" w:line="254" w:lineRule="auto"/>
      </w:pPr>
      <w:r>
        <w:rPr>
          <w:rFonts w:ascii="Times New Roman" w:hAnsi="Times New Roman" w:eastAsia="宋体" w:cs="Times New Roman"/>
          <w:b/>
          <w:i w:val="0"/>
          <w:sz w:val="23"/>
        </w:rPr>
        <w:t>2.1　时间树节点不是合法的二叉节点，规范分解与 720 倍口径无法复现</w:t>
      </w:r>
    </w:p>
    <w:p>
      <w:pPr>
        <w:spacing w:before="0" w:after="80" w:line="259" w:lineRule="auto"/>
      </w:pPr>
      <w:r>
        <w:rPr>
          <w:rFonts w:ascii="Times New Roman" w:hAnsi="Times New Roman" w:eastAsia="宋体" w:cs="Times New Roman"/>
          <w:b w:val="0"/>
          <w:i w:val="0"/>
          <w:sz w:val="21"/>
        </w:rPr>
        <w:t>这是三项高等级问题中影响面最大的一项。样例 C-2609-0001 给出两个时间段的四个节点：(Toff=2040, Lt=4)、(Toff=2056, Lt=6)、(Toff=2120, Lt=5)、(Toff=2152, Lt=3)。二叉时间树要求 Lt 层上的节点起点是 2 的 Lt 次幂的整数倍，即 Toff 对 2 的 Lt 次幂取余为零。把这四个节点代回检查，2040 对 16 取余为 8、2056 对 64 取余为 8、2120 对 32 取余为 8，只有 2152 对 8 取余为零。四个节点中只有一个合法。</w:t>
      </w:r>
    </w:p>
    <w:p>
      <w:pPr>
        <w:spacing w:before="0" w:after="80" w:line="259" w:lineRule="auto"/>
      </w:pPr>
      <w:r>
        <w:rPr>
          <w:rFonts w:ascii="Times New Roman" w:hAnsi="Times New Roman" w:eastAsia="宋体" w:cs="Times New Roman"/>
          <w:b w:val="0"/>
          <w:i w:val="0"/>
          <w:sz w:val="21"/>
        </w:rPr>
        <w:t>后果分两层。第一层是规范分解不成立：按声明的时间原点（窗口起点 2026-09-07 00:00），10:00 至 10:16 这一段的正确规范分解是两个 Lt=3 的节点而不是一个 Lt=4 的节点；10:16 至 12:00 这一段的正确分解是 (2056,3)、(2064,4)、(2080,5)、(2112,5)、(2144,4) 五个节点，而不是文档所写的 64 加 32 加 8 三个节点。第二层是 720 倍口径不成立：同一原点下，7 天窗口的规范分解是 6 个节点，500 个网格对应 3000 条而不是 7000 条，下降倍数是 1680 倍而不是 720 倍。</w:t>
      </w:r>
    </w:p>
    <w:p>
      <w:pPr>
        <w:spacing w:before="0" w:after="80" w:line="259" w:lineRule="auto"/>
      </w:pPr>
      <w:r>
        <w:rPr>
          <w:rFonts w:ascii="Times New Roman" w:hAnsi="Times New Roman" w:eastAsia="宋体" w:cs="Times New Roman"/>
          <w:b w:val="0"/>
          <w:i w:val="0"/>
          <w:sz w:val="21"/>
        </w:rPr>
        <w:t>进一步反解发现，文档所写的 720 倍与 64 加 32 加 8 结构本身是自洽的，只是锚点被写错了。在 Toff 的取值范围内穷举偏移，能够同时满足四项条件的整点解只有一个：把时间树的 Toff=0 锚点设在窗口起点之前 120 分钟，即 2026-09-06 22:00。在该锚点下，第一个事件段的 Toff 变为 2160 且恰好是 16 的整数倍，成为单个 Lt=4 节点；第二个事件段变为 2176、2240、2272，正好对应 Lt 为 6、5、3 的三节点，即 64 加 32 加 8 分钟；7 天窗口的规范分解恰为 14 个节点，500 个网格对应 7000 条，下降倍数恰为 720 倍。三处口径同时复位，说明原稿是按这个锚点计算的，但文档记录的 time_epoch 写成了窗口起点。</w:t>
      </w:r>
    </w:p>
    <w:p>
      <w:pPr>
        <w:spacing w:before="0" w:after="80" w:line="259" w:lineRule="auto"/>
      </w:pPr>
      <w:r>
        <w:rPr>
          <w:rFonts w:ascii="Times New Roman" w:hAnsi="Times New Roman" w:eastAsia="宋体" w:cs="Times New Roman"/>
          <w:b w:val="0"/>
          <w:i w:val="0"/>
          <w:sz w:val="21"/>
        </w:rPr>
        <w:t>修正方式是把 time_tree_origin 显式定义为 2026-09-06T22:00:00+08:00，并在规范中区分两个概念： Toff=0 的锚点是时间树的原点，规划窗口起点是业务窗口的起点，二者相差 120 分钟。修正后的样例已随本文更新，四个节点全部通过对齐检查。</w:t>
      </w:r>
    </w:p>
    <w:p>
      <w:pPr>
        <w:keepNext/>
        <w:spacing w:before="120" w:after="60" w:line="254" w:lineRule="auto"/>
      </w:pPr>
      <w:r>
        <w:rPr>
          <w:rFonts w:ascii="Times New Roman" w:hAnsi="Times New Roman" w:eastAsia="宋体" w:cs="Times New Roman"/>
          <w:b/>
          <w:i w:val="0"/>
          <w:sz w:val="23"/>
        </w:rPr>
        <w:t>2.2　定长键的位序与总位宽在两份文档间相差 4 位</w:t>
      </w:r>
    </w:p>
    <w:p>
      <w:pPr>
        <w:spacing w:before="0" w:after="80" w:line="259" w:lineRule="auto"/>
      </w:pPr>
      <w:r>
        <w:rPr>
          <w:rFonts w:ascii="Times New Roman" w:hAnsi="Times New Roman" w:eastAsia="宋体" w:cs="Times New Roman"/>
          <w:b w:val="0"/>
          <w:i w:val="0"/>
          <w:sz w:val="21"/>
        </w:rPr>
        <w:t>交接文档、样例 JSON 与汇报稿采用 X' 17 位、Y' 17 位、Z 7 位、L 4 位、Toff 14 位、Lt 4 位、ver 1 位，合计 64 位。技术讨论说明的正文把同一结构写作 version、geo_level、X'、Y'、Z、L、Lt、Toff，按该顺序与位长相加是 1 加 4 加 17 加 17 加 7 加 4 加 4 加 14 等于 68 位，比 8 字节多出 4 位，与同一份文档中合计 64 位即 8 字节的表述自相矛盾。</w:t>
      </w:r>
    </w:p>
    <w:p>
      <w:pPr>
        <w:spacing w:before="0" w:after="80" w:line="259" w:lineRule="auto"/>
      </w:pPr>
      <w:r>
        <w:rPr>
          <w:rFonts w:ascii="Times New Roman" w:hAnsi="Times New Roman" w:eastAsia="宋体" w:cs="Times New Roman"/>
          <w:b w:val="0"/>
          <w:i w:val="0"/>
          <w:sz w:val="21"/>
        </w:rPr>
        <w:t>这不只是笔误。位序决定前缀语义：样例 JSON 把 ver 放在最低位、X' 放在最高位，于是同一层级网格的前缀比对退化为一次 x 与 mask 的位与运算，父码是子码前缀这一性质成立；技术讨论说明把 version 放在最高位，前缀比对会先经过版本号，位掩码前缀检索随之失效。此外 68 位不是 8 字节，批量 OPRF 与 AES 分组处理的定长输入假设不再成立。复算已用三个样例验证：只有在 X' 置于最高位时，重新拼接的结果才与文档所载的十六进制完全一致，因此以样例 JSON 的位序为准，回改技术讨论说明的位向量结构表述，并删除其中多余的 geo_level 字段。</w:t>
      </w:r>
    </w:p>
    <w:p>
      <w:pPr>
        <w:keepNext/>
        <w:spacing w:before="120" w:after="60" w:line="254" w:lineRule="auto"/>
      </w:pPr>
      <w:r>
        <w:rPr>
          <w:rFonts w:ascii="Times New Roman" w:hAnsi="Times New Roman" w:eastAsia="宋体" w:cs="Times New Roman"/>
          <w:b/>
          <w:i w:val="0"/>
          <w:sz w:val="23"/>
        </w:rPr>
        <w:t>2.3　属性 A02 人口密度的值域在两份文档间相差 50 倍</w:t>
      </w:r>
    </w:p>
    <w:p>
      <w:pPr>
        <w:spacing w:before="0" w:after="80" w:line="259" w:lineRule="auto"/>
      </w:pPr>
      <w:r>
        <w:rPr>
          <w:rFonts w:ascii="Times New Roman" w:hAnsi="Times New Roman" w:eastAsia="宋体" w:cs="Times New Roman"/>
          <w:b w:val="0"/>
          <w:i w:val="0"/>
          <w:sz w:val="21"/>
        </w:rPr>
        <w:t>样例 JSON 与汇报稿把 A02 的值域定为 0 至 20000 人每平方公里，技术讨论说明的正文写作 0 至 10 的 6 次方。同一原始值 8600 在两种字典下分别量化为 110 与 2；同一阈值 12000 分别落在第 153 箱与第 3 箱。在 10 的 6 次方口径下，选址实际关心的 0 至 20000 区间被压缩到 255 个箱号中的前 3 个，分箱退化为几乎不可用。</w:t>
      </w:r>
    </w:p>
    <w:p>
      <w:pPr>
        <w:spacing w:before="0" w:after="80" w:line="259" w:lineRule="auto"/>
      </w:pPr>
      <w:r>
        <w:rPr>
          <w:rFonts w:ascii="Times New Roman" w:hAnsi="Times New Roman" w:eastAsia="宋体" w:cs="Times New Roman"/>
          <w:b w:val="0"/>
          <w:i w:val="0"/>
          <w:sz w:val="21"/>
        </w:rPr>
        <w:t>per-attribute 量化字典是位宽统一与阈值对齐箱边界两项机制的前提。字典不一致意味着跨方对同一个物理量得到不同的密态输入，阈值比较会出现系统性假阴性，且这种偏差不会在联调日志里显形，只会表现为候选集偏小。以样例 JSON 的 0 至 20000 为准回改技术讨论说明，该量级与低空选址的人口密度判据相符。</w:t>
      </w:r>
    </w:p>
    <w:p>
      <w:pPr>
        <w:keepNext/>
        <w:spacing w:before="120" w:after="60" w:line="254" w:lineRule="auto"/>
      </w:pPr>
      <w:r>
        <w:rPr>
          <w:rFonts w:ascii="Times New Roman" w:hAnsi="Times New Roman" w:eastAsia="宋体" w:cs="Times New Roman"/>
          <w:b/>
          <w:i w:val="0"/>
          <w:sz w:val="23"/>
        </w:rPr>
        <w:t>2.4　窗口常量用单节点表达，与窗口长度不符</w:t>
      </w:r>
    </w:p>
    <w:p>
      <w:pPr>
        <w:spacing w:before="0" w:after="80" w:line="259" w:lineRule="auto"/>
      </w:pPr>
      <w:r>
        <w:rPr>
          <w:rFonts w:ascii="Times New Roman" w:hAnsi="Times New Roman" w:eastAsia="宋体" w:cs="Times New Roman"/>
          <w:b w:val="0"/>
          <w:i w:val="0"/>
          <w:sz w:val="21"/>
        </w:rPr>
        <w:t>样例 C-2609-0002 与 C-2609-0003 把整窗恒定的掩码表示为单个节点 (Toff=0, Lt=14)。Lt=14 的节点覆盖 16384 分钟，而 7 天窗口只有 10080 分钟，节点覆盖范围超出窗口末端 6304 分钟，不满足规范分解所要求的完全包含于有效期这一条件。按窗口边界复算，7 天窗口的规范分解是 14 个节点。</w:t>
      </w:r>
    </w:p>
    <w:p>
      <w:pPr>
        <w:spacing w:before="0" w:after="80" w:line="259" w:lineRule="auto"/>
      </w:pPr>
      <w:r>
        <w:rPr>
          <w:rFonts w:ascii="Times New Roman" w:hAnsi="Times New Roman" w:eastAsia="宋体" w:cs="Times New Roman"/>
          <w:b w:val="0"/>
          <w:i w:val="0"/>
          <w:sz w:val="21"/>
        </w:rPr>
        <w:t>处置方式是把常量语义与窗口投影分开。常量记录以 t_end 取正无穷表示在整个时间地址空间上恒定，此时单节点 (Toff=0, Lt=14) 是唯一可用的单节点表示，条件是成立的；当平台要求把常量物化到 7 天窗口边界时，改用窗口投影的 14 个节点。两种表示的节点数上界都远低于 2 乘 Lt_max 等于 28 的理论界，对 N_ct 量级无影响。需要说明的是，这一项与 2.1 节同源：如果锚点仍取窗口起点，窗口投影会是 6 个节点，锚点修正为前移 120 分钟后才与文档的 14 节点口径一致。</w:t>
      </w:r>
    </w:p>
    <w:p>
      <w:pPr>
        <w:keepNext/>
        <w:spacing w:before="120" w:after="60" w:line="254" w:lineRule="auto"/>
      </w:pPr>
      <w:r>
        <w:rPr>
          <w:rFonts w:ascii="Times New Roman" w:hAnsi="Times New Roman" w:eastAsia="宋体" w:cs="Times New Roman"/>
          <w:b/>
          <w:i w:val="0"/>
          <w:sz w:val="23"/>
        </w:rPr>
        <w:t>2.5　两个业务阈值未精确落在箱边界</w:t>
      </w:r>
    </w:p>
    <w:p>
      <w:pPr>
        <w:spacing w:before="0" w:after="80" w:line="259" w:lineRule="auto"/>
      </w:pPr>
      <w:r>
        <w:rPr>
          <w:rFonts w:ascii="Times New Roman" w:hAnsi="Times New Roman" w:eastAsia="宋体" w:cs="Times New Roman"/>
          <w:b w:val="0"/>
          <w:i w:val="0"/>
          <w:sz w:val="21"/>
        </w:rPr>
        <w:t>阈值对齐箱边界这一要求的目的是让密态比较退化为与明文常数的比较，并避免在判定边界上引入隐藏截断。把四个阈值代回箱号公式，A02 的 12000 落在第 153 箱、A03 的 90 落在第 170 箱，都是整数，对齐成立；A01 的 10.8 落在第 55.08 箱，不是整数，最近的箱边界是 10.784314，与业务阈值相差 0.0157，相当于箱宽的 8%；A04 的 0.70 落在第 178.5 箱，恰好是半格。未对齐意味着阈值判定带上 8% 至 50% 箱宽的吸附误差，跨方若对字典的取整方向理解不同，同一阈值会落到相邻两个箱号上，在否决型硬约束上等于改变了业务判据。</w:t>
      </w:r>
    </w:p>
    <w:p>
      <w:pPr>
        <w:spacing w:before="0" w:after="80" w:line="259" w:lineRule="auto"/>
      </w:pPr>
      <w:r>
        <w:rPr>
          <w:rFonts w:ascii="Times New Roman" w:hAnsi="Times New Roman" w:eastAsia="宋体" w:cs="Times New Roman"/>
          <w:b w:val="0"/>
          <w:i w:val="0"/>
          <w:sz w:val="21"/>
        </w:rPr>
        <w:t>两个阈值各有一个精确解。A01 把值域上界由 50 改为 51，箱宽变为 0.2，10.8 精确落在第 54 箱边界上，代价是上界从 50 放宽到 51 米每秒，可接受。A04 若要保持值域 0 至 1，无法用整数箱号表示 0.70，需把值域上界改为 0.997207，或保留值域并在字典中显式记载 0.70 对应第 179 箱及其判定边界 0.698039。建议对 A01 采用改值域的做法，对 A04 采用显式记载的做法，因为建筑风险的值域 0 至 1 有独立语义，为对齐而改动上界会引入新的解释成本。</w:t>
      </w:r>
    </w:p>
    <w:p>
      <w:pPr>
        <w:keepNext/>
        <w:spacing w:before="120" w:after="60" w:line="254" w:lineRule="auto"/>
      </w:pPr>
      <w:r>
        <w:rPr>
          <w:rFonts w:ascii="Times New Roman" w:hAnsi="Times New Roman" w:eastAsia="宋体" w:cs="Times New Roman"/>
          <w:b/>
          <w:i w:val="0"/>
          <w:sz w:val="23"/>
        </w:rPr>
        <w:t>2.6　取整规则未写死，0.70 恰好落在半格</w:t>
      </w:r>
    </w:p>
    <w:p>
      <w:pPr>
        <w:spacing w:before="0" w:after="80" w:line="259" w:lineRule="auto"/>
      </w:pPr>
      <w:r>
        <w:rPr>
          <w:rFonts w:ascii="Times New Roman" w:hAnsi="Times New Roman" w:eastAsia="宋体" w:cs="Times New Roman"/>
          <w:b w:val="0"/>
          <w:i w:val="0"/>
          <w:sz w:val="21"/>
        </w:rPr>
        <w:t>0.70 乘 255 等于 178.5。半格进位得 179，银行家舍入得 178，两种实现的判定边界分别是 0.698039 与 0.694118。样例 JSON 记载 179，若平台侧以语言的默认舍入函数实现，会得到 178 或 179 中不确定的一个。</w:t>
      </w:r>
    </w:p>
    <w:p>
      <w:pPr>
        <w:spacing w:before="0" w:after="80" w:line="259" w:lineRule="auto"/>
      </w:pPr>
      <w:r>
        <w:rPr>
          <w:rFonts w:ascii="Times New Roman" w:hAnsi="Times New Roman" w:eastAsia="宋体" w:cs="Times New Roman"/>
          <w:b w:val="0"/>
          <w:i w:val="0"/>
          <w:sz w:val="21"/>
        </w:rPr>
        <w:t>处置方式是在量化规则中写死取整方向，即 q 等于 (v 减 min) 除以 (max 减 min) 再乘 2 的 b 次幂减 1，对结果加 0.5 后向下取整。该写法在 b 等于 8 时对四个属性的原始值与阈值全部给出样例 JSON 所载的结果，已逐项复核通过。</w:t>
      </w:r>
    </w:p>
    <w:p>
      <w:pPr>
        <w:keepNext/>
        <w:spacing w:before="180" w:after="80" w:line="252" w:lineRule="auto"/>
      </w:pPr>
      <w:r>
        <w:rPr>
          <w:rFonts w:ascii="Times New Roman" w:hAnsi="Times New Roman" w:eastAsia="宋体" w:cs="Times New Roman"/>
          <w:b/>
          <w:i w:val="0"/>
          <w:sz w:val="26"/>
        </w:rPr>
        <w:t>三　复算通过的口径</w:t>
      </w:r>
    </w:p>
    <w:p>
      <w:pPr>
        <w:spacing w:before="0" w:after="80" w:line="259" w:lineRule="auto"/>
      </w:pPr>
      <w:r>
        <w:rPr>
          <w:rFonts w:ascii="Times New Roman" w:hAnsi="Times New Roman" w:eastAsia="宋体" w:cs="Times New Roman"/>
          <w:b w:val="0"/>
          <w:i w:val="0"/>
          <w:sz w:val="21"/>
        </w:rPr>
        <w:t>以下各项在不同文档间取值一致，且满足所依附的机制前提，本次核对不需要改动。列出它们的目的有两个：一是界定修正范围，避免把已定型的量误当问题重算；二是这几项恰好构成四量代价函数的数值骨架，可作为后续联调的对账基准。</w:t>
      </w:r>
    </w:p>
    <w:p>
      <w:pPr>
        <w:keepNext/>
        <w:spacing w:before="100" w:after="40" w:line="252" w:lineRule="auto"/>
      </w:pPr>
      <w:r>
        <w:rPr>
          <w:rFonts w:ascii="Times New Roman" w:hAnsi="Times New Roman" w:eastAsia="宋体" w:cs="Times New Roman"/>
          <w:b/>
          <w:i w:val="0"/>
          <w:sz w:val="19"/>
        </w:rPr>
        <w:t>表3-1　复算通过的口径及其验证方式</w:t>
      </w:r>
    </w:p>
    <w:tbl>
      <w:tblPr>
        <w:tblStyle w:val="TableGrid"/>
        <w:jc w:val="center"/>
        <w:tblLook w:firstColumn="1" w:firstRow="1" w:lastColumn="0" w:lastRow="0" w:noHBand="0" w:noVBand="1" w:val="04A0"/>
        <w:tblLayout w:type="fixed"/>
        <w:tblCellMar>
          <w:top w:w="28" w:type="dxa"/>
          <w:left w:w="120" w:type="dxa"/>
          <w:bottom w:w="28" w:type="dxa"/>
          <w:right w:w="120" w:type="dxa"/>
        </w:tblCellMar>
        <w:tblW w:w="9184" w:type="dxa"/>
        <w:tblInd w:w="120" w:type="dxa"/>
      </w:tblPr>
      <w:tblGrid>
        <w:gridCol w:w="2381"/>
        <w:gridCol w:w="2041"/>
        <w:gridCol w:w="1814"/>
        <w:gridCol w:w="2948"/>
      </w:tblGrid>
      <w:tr>
        <w:trPr>
          <w:tblHeader/>
        </w:trPr>
        <w:tc>
          <w:tcPr>
            <w:tcW w:type="dxa" w:w="2381"/>
            <w:shd w:val="clear" w:color="auto" w:fill="2F4858"/>
          </w:tcPr>
          <w:p>
            <w:pPr>
              <w:spacing w:before="0" w:after="20" w:line="245" w:lineRule="auto"/>
            </w:pPr>
            <w:r/>
            <w:r>
              <w:rPr>
                <w:rFonts w:ascii="Times New Roman" w:hAnsi="Times New Roman" w:eastAsia="宋体" w:cs="Times New Roman"/>
                <w:b/>
                <w:i w:val="0"/>
                <w:color w:val="FFFFFF"/>
                <w:sz w:val="18"/>
              </w:rPr>
              <w:t>项目</w:t>
            </w:r>
          </w:p>
        </w:tc>
        <w:tc>
          <w:tcPr>
            <w:tcW w:type="dxa" w:w="2041"/>
            <w:shd w:val="clear" w:color="auto" w:fill="2F4858"/>
          </w:tcPr>
          <w:p>
            <w:pPr>
              <w:spacing w:before="0" w:after="20" w:line="245" w:lineRule="auto"/>
            </w:pPr>
            <w:r/>
            <w:r>
              <w:rPr>
                <w:rFonts w:ascii="Times New Roman" w:hAnsi="Times New Roman" w:eastAsia="宋体" w:cs="Times New Roman"/>
                <w:b/>
                <w:i w:val="0"/>
                <w:color w:val="FFFFFF"/>
                <w:sz w:val="18"/>
              </w:rPr>
              <w:t>复算结果</w:t>
            </w:r>
          </w:p>
        </w:tc>
        <w:tc>
          <w:tcPr>
            <w:tcW w:type="dxa" w:w="1814"/>
            <w:shd w:val="clear" w:color="auto" w:fill="2F4858"/>
          </w:tcPr>
          <w:p>
            <w:pPr>
              <w:spacing w:before="0" w:after="20" w:line="245" w:lineRule="auto"/>
            </w:pPr>
            <w:r/>
            <w:r>
              <w:rPr>
                <w:rFonts w:ascii="Times New Roman" w:hAnsi="Times New Roman" w:eastAsia="宋体" w:cs="Times New Roman"/>
                <w:b/>
                <w:i w:val="0"/>
                <w:color w:val="FFFFFF"/>
                <w:sz w:val="18"/>
              </w:rPr>
              <w:t>文档所载</w:t>
            </w:r>
          </w:p>
        </w:tc>
        <w:tc>
          <w:tcPr>
            <w:tcW w:type="dxa" w:w="2948"/>
            <w:shd w:val="clear" w:color="auto" w:fill="2F4858"/>
          </w:tcPr>
          <w:p>
            <w:pPr>
              <w:spacing w:before="0" w:after="20" w:line="245" w:lineRule="auto"/>
            </w:pPr>
            <w:r/>
            <w:r>
              <w:rPr>
                <w:rFonts w:ascii="Times New Roman" w:hAnsi="Times New Roman" w:eastAsia="宋体" w:cs="Times New Roman"/>
                <w:b/>
                <w:i w:val="0"/>
                <w:color w:val="FFFFFF"/>
                <w:sz w:val="18"/>
              </w:rPr>
              <w:t>验证方式</w:t>
            </w:r>
          </w:p>
        </w:tc>
      </w:tr>
      <w:tr>
        <w:tc>
          <w:tcPr>
            <w:tcW w:type="dxa" w:w="2381"/>
          </w:tcPr>
          <w:p>
            <w:pPr>
              <w:spacing w:before="0" w:after="20" w:line="245" w:lineRule="auto"/>
            </w:pPr>
            <w:r/>
            <w:r>
              <w:rPr>
                <w:rFonts w:ascii="Times New Roman" w:hAnsi="Times New Roman" w:eastAsia="宋体" w:cs="Times New Roman"/>
                <w:b/>
                <w:i w:val="0"/>
                <w:sz w:val="18"/>
              </w:rPr>
              <w:t>grid_code 三例十六进制</w:t>
            </w:r>
          </w:p>
        </w:tc>
        <w:tc>
          <w:tcPr>
            <w:tcW w:type="dxa" w:w="2041"/>
          </w:tcPr>
          <w:p>
            <w:pPr>
              <w:spacing w:before="0" w:after="20" w:line="245" w:lineRule="auto"/>
            </w:pPr>
            <w:r/>
            <w:r>
              <w:rPr>
                <w:rFonts w:ascii="Times New Roman" w:hAnsi="Times New Roman" w:eastAsia="宋体" w:cs="Times New Roman"/>
                <w:b w:val="0"/>
                <w:i w:val="0"/>
                <w:sz w:val="18"/>
              </w:rPr>
              <w:t>0x2AB29B0D87C8FF08 等三例</w:t>
            </w:r>
          </w:p>
        </w:tc>
        <w:tc>
          <w:tcPr>
            <w:tcW w:type="dxa" w:w="1814"/>
          </w:tcPr>
          <w:p>
            <w:pPr>
              <w:spacing w:before="0" w:after="20" w:line="245" w:lineRule="auto"/>
            </w:pPr>
            <w:r/>
            <w:r>
              <w:rPr>
                <w:rFonts w:ascii="Times New Roman" w:hAnsi="Times New Roman" w:eastAsia="宋体" w:cs="Times New Roman"/>
                <w:b w:val="0"/>
                <w:i w:val="0"/>
                <w:sz w:val="18"/>
              </w:rPr>
              <w:t>逐位相同</w:t>
            </w:r>
          </w:p>
        </w:tc>
        <w:tc>
          <w:tcPr>
            <w:tcW w:type="dxa" w:w="2948"/>
          </w:tcPr>
          <w:p>
            <w:pPr>
              <w:spacing w:before="0" w:after="20" w:line="245" w:lineRule="auto"/>
            </w:pPr>
            <w:r/>
            <w:r>
              <w:rPr>
                <w:rFonts w:ascii="Times New Roman" w:hAnsi="Times New Roman" w:eastAsia="宋体" w:cs="Times New Roman"/>
                <w:b w:val="0"/>
                <w:i w:val="0"/>
                <w:sz w:val="18"/>
              </w:rPr>
              <w:t>位段回环：分段值重新拼接为 64 位整数后比对</w:t>
            </w:r>
          </w:p>
        </w:tc>
      </w:tr>
      <w:tr>
        <w:tc>
          <w:tcPr>
            <w:tcW w:type="dxa" w:w="2381"/>
            <w:shd w:val="clear" w:color="auto" w:fill="F2F4F6"/>
          </w:tcPr>
          <w:p>
            <w:pPr>
              <w:spacing w:before="0" w:after="20" w:line="245" w:lineRule="auto"/>
            </w:pPr>
            <w:r/>
            <w:r>
              <w:rPr>
                <w:rFonts w:ascii="Times New Roman" w:hAnsi="Times New Roman" w:eastAsia="宋体" w:cs="Times New Roman"/>
                <w:b/>
                <w:i w:val="0"/>
                <w:sz w:val="18"/>
              </w:rPr>
              <w:t>rel_bitset 关系号 3、7、12</w:t>
            </w:r>
          </w:p>
        </w:tc>
        <w:tc>
          <w:tcPr>
            <w:tcW w:type="dxa" w:w="2041"/>
            <w:shd w:val="clear" w:color="auto" w:fill="F2F4F6"/>
          </w:tcPr>
          <w:p>
            <w:pPr>
              <w:spacing w:before="0" w:after="20" w:line="245" w:lineRule="auto"/>
            </w:pPr>
            <w:r/>
            <w:r>
              <w:rPr>
                <w:rFonts w:ascii="Times New Roman" w:hAnsi="Times New Roman" w:eastAsia="宋体" w:cs="Times New Roman"/>
                <w:b w:val="0"/>
                <w:i w:val="0"/>
                <w:sz w:val="18"/>
              </w:rPr>
              <w:t>4232 = 0x1088</w:t>
            </w:r>
          </w:p>
        </w:tc>
        <w:tc>
          <w:tcPr>
            <w:tcW w:type="dxa" w:w="1814"/>
            <w:shd w:val="clear" w:color="auto" w:fill="F2F4F6"/>
          </w:tcPr>
          <w:p>
            <w:pPr>
              <w:spacing w:before="0" w:after="20" w:line="245" w:lineRule="auto"/>
            </w:pPr>
            <w:r/>
            <w:r>
              <w:rPr>
                <w:rFonts w:ascii="Times New Roman" w:hAnsi="Times New Roman" w:eastAsia="宋体" w:cs="Times New Roman"/>
                <w:b w:val="0"/>
                <w:i w:val="0"/>
                <w:sz w:val="18"/>
              </w:rPr>
              <w:t>4232 = 0x1088</w:t>
            </w:r>
          </w:p>
        </w:tc>
        <w:tc>
          <w:tcPr>
            <w:tcW w:type="dxa" w:w="2948"/>
            <w:shd w:val="clear" w:color="auto" w:fill="F2F4F6"/>
          </w:tcPr>
          <w:p>
            <w:pPr>
              <w:spacing w:before="0" w:after="20" w:line="245" w:lineRule="auto"/>
            </w:pPr>
            <w:r/>
            <w:r>
              <w:rPr>
                <w:rFonts w:ascii="Times New Roman" w:hAnsi="Times New Roman" w:eastAsia="宋体" w:cs="Times New Roman"/>
                <w:b w:val="0"/>
                <w:i w:val="0"/>
                <w:sz w:val="18"/>
              </w:rPr>
              <w:t>按 2 的幂加权求和</w:t>
            </w:r>
          </w:p>
        </w:tc>
      </w:tr>
      <w:tr>
        <w:tc>
          <w:tcPr>
            <w:tcW w:type="dxa" w:w="2381"/>
          </w:tcPr>
          <w:p>
            <w:pPr>
              <w:spacing w:before="0" w:after="20" w:line="245" w:lineRule="auto"/>
            </w:pPr>
            <w:r/>
            <w:r>
              <w:rPr>
                <w:rFonts w:ascii="Times New Roman" w:hAnsi="Times New Roman" w:eastAsia="宋体" w:cs="Times New Roman"/>
                <w:b/>
                <w:i w:val="0"/>
                <w:sz w:val="18"/>
              </w:rPr>
              <w:t>L2 位平面密文条数</w:t>
            </w:r>
          </w:p>
        </w:tc>
        <w:tc>
          <w:tcPr>
            <w:tcW w:type="dxa" w:w="2041"/>
          </w:tcPr>
          <w:p>
            <w:pPr>
              <w:spacing w:before="0" w:after="20" w:line="245" w:lineRule="auto"/>
            </w:pPr>
            <w:r/>
            <w:r>
              <w:rPr>
                <w:rFonts w:ascii="Times New Roman" w:hAnsi="Times New Roman" w:eastAsia="宋体" w:cs="Times New Roman"/>
                <w:b w:val="0"/>
                <w:i w:val="0"/>
                <w:sz w:val="18"/>
              </w:rPr>
              <w:t>192 条</w:t>
            </w:r>
          </w:p>
        </w:tc>
        <w:tc>
          <w:tcPr>
            <w:tcW w:type="dxa" w:w="1814"/>
          </w:tcPr>
          <w:p>
            <w:pPr>
              <w:spacing w:before="0" w:after="20" w:line="245" w:lineRule="auto"/>
            </w:pPr>
            <w:r/>
            <w:r>
              <w:rPr>
                <w:rFonts w:ascii="Times New Roman" w:hAnsi="Times New Roman" w:eastAsia="宋体" w:cs="Times New Roman"/>
                <w:b w:val="0"/>
                <w:i w:val="0"/>
                <w:sz w:val="18"/>
              </w:rPr>
              <w:t>192 条</w:t>
            </w:r>
          </w:p>
        </w:tc>
        <w:tc>
          <w:tcPr>
            <w:tcW w:type="dxa" w:w="2948"/>
          </w:tcPr>
          <w:p>
            <w:pPr>
              <w:spacing w:before="0" w:after="20" w:line="245" w:lineRule="auto"/>
            </w:pPr>
            <w:r/>
            <w:r>
              <w:rPr>
                <w:rFonts w:ascii="Times New Roman" w:hAnsi="Times New Roman" w:eastAsia="宋体" w:cs="Times New Roman"/>
                <w:b w:val="0"/>
                <w:i w:val="0"/>
                <w:sz w:val="18"/>
              </w:rPr>
              <w:t>196000 除以 8192 向上取整再乘 8</w:t>
            </w:r>
          </w:p>
        </w:tc>
      </w:tr>
      <w:tr>
        <w:tc>
          <w:tcPr>
            <w:tcW w:type="dxa" w:w="2381"/>
            <w:shd w:val="clear" w:color="auto" w:fill="F2F4F6"/>
          </w:tcPr>
          <w:p>
            <w:pPr>
              <w:spacing w:before="0" w:after="20" w:line="245" w:lineRule="auto"/>
            </w:pPr>
            <w:r/>
            <w:r>
              <w:rPr>
                <w:rFonts w:ascii="Times New Roman" w:hAnsi="Times New Roman" w:eastAsia="宋体" w:cs="Times New Roman"/>
                <w:b/>
                <w:i w:val="0"/>
                <w:sz w:val="18"/>
              </w:rPr>
              <w:t>L2 相对逐点下降倍数</w:t>
            </w:r>
          </w:p>
        </w:tc>
        <w:tc>
          <w:tcPr>
            <w:tcW w:type="dxa" w:w="2041"/>
            <w:shd w:val="clear" w:color="auto" w:fill="F2F4F6"/>
          </w:tcPr>
          <w:p>
            <w:pPr>
              <w:spacing w:before="0" w:after="20" w:line="245" w:lineRule="auto"/>
            </w:pPr>
            <w:r/>
            <w:r>
              <w:rPr>
                <w:rFonts w:ascii="Times New Roman" w:hAnsi="Times New Roman" w:eastAsia="宋体" w:cs="Times New Roman"/>
                <w:b w:val="0"/>
                <w:i w:val="0"/>
                <w:sz w:val="18"/>
              </w:rPr>
              <w:t>约 1020 倍</w:t>
            </w:r>
          </w:p>
        </w:tc>
        <w:tc>
          <w:tcPr>
            <w:tcW w:type="dxa" w:w="1814"/>
            <w:shd w:val="clear" w:color="auto" w:fill="F2F4F6"/>
          </w:tcPr>
          <w:p>
            <w:pPr>
              <w:spacing w:before="0" w:after="20" w:line="245" w:lineRule="auto"/>
            </w:pPr>
            <w:r/>
            <w:r>
              <w:rPr>
                <w:rFonts w:ascii="Times New Roman" w:hAnsi="Times New Roman" w:eastAsia="宋体" w:cs="Times New Roman"/>
                <w:b w:val="0"/>
                <w:i w:val="0"/>
                <w:sz w:val="18"/>
              </w:rPr>
              <w:t>约 1020 倍</w:t>
            </w:r>
          </w:p>
        </w:tc>
        <w:tc>
          <w:tcPr>
            <w:tcW w:type="dxa" w:w="2948"/>
            <w:shd w:val="clear" w:color="auto" w:fill="F2F4F6"/>
          </w:tcPr>
          <w:p>
            <w:pPr>
              <w:spacing w:before="0" w:after="20" w:line="245" w:lineRule="auto"/>
            </w:pPr>
            <w:r/>
            <w:r>
              <w:rPr>
                <w:rFonts w:ascii="Times New Roman" w:hAnsi="Times New Roman" w:eastAsia="宋体" w:cs="Times New Roman"/>
                <w:b w:val="0"/>
                <w:i w:val="0"/>
                <w:sz w:val="18"/>
              </w:rPr>
              <w:t>196000 除以 192</w:t>
            </w:r>
          </w:p>
        </w:tc>
      </w:tr>
      <w:tr>
        <w:tc>
          <w:tcPr>
            <w:tcW w:type="dxa" w:w="2381"/>
          </w:tcPr>
          <w:p>
            <w:pPr>
              <w:spacing w:before="0" w:after="20" w:line="245" w:lineRule="auto"/>
            </w:pPr>
            <w:r/>
            <w:r>
              <w:rPr>
                <w:rFonts w:ascii="Times New Roman" w:hAnsi="Times New Roman" w:eastAsia="宋体" w:cs="Times New Roman"/>
                <w:b/>
                <w:i w:val="0"/>
                <w:sz w:val="18"/>
              </w:rPr>
              <w:t>时间量下降倍数</w:t>
            </w:r>
          </w:p>
        </w:tc>
        <w:tc>
          <w:tcPr>
            <w:tcW w:type="dxa" w:w="2041"/>
          </w:tcPr>
          <w:p>
            <w:pPr>
              <w:spacing w:before="0" w:after="20" w:line="245" w:lineRule="auto"/>
            </w:pPr>
            <w:r/>
            <w:r>
              <w:rPr>
                <w:rFonts w:ascii="Times New Roman" w:hAnsi="Times New Roman" w:eastAsia="宋体" w:cs="Times New Roman"/>
                <w:b w:val="0"/>
                <w:i w:val="0"/>
                <w:sz w:val="18"/>
              </w:rPr>
              <w:t>720 倍</w:t>
            </w:r>
          </w:p>
        </w:tc>
        <w:tc>
          <w:tcPr>
            <w:tcW w:type="dxa" w:w="1814"/>
          </w:tcPr>
          <w:p>
            <w:pPr>
              <w:spacing w:before="0" w:after="20" w:line="245" w:lineRule="auto"/>
            </w:pPr>
            <w:r/>
            <w:r>
              <w:rPr>
                <w:rFonts w:ascii="Times New Roman" w:hAnsi="Times New Roman" w:eastAsia="宋体" w:cs="Times New Roman"/>
                <w:b w:val="0"/>
                <w:i w:val="0"/>
                <w:sz w:val="18"/>
              </w:rPr>
              <w:t>720 倍</w:t>
            </w:r>
          </w:p>
        </w:tc>
        <w:tc>
          <w:tcPr>
            <w:tcW w:type="dxa" w:w="2948"/>
          </w:tcPr>
          <w:p>
            <w:pPr>
              <w:spacing w:before="0" w:after="20" w:line="245" w:lineRule="auto"/>
            </w:pPr>
            <w:r/>
            <w:r>
              <w:rPr>
                <w:rFonts w:ascii="Times New Roman" w:hAnsi="Times New Roman" w:eastAsia="宋体" w:cs="Times New Roman"/>
                <w:b w:val="0"/>
                <w:i w:val="0"/>
                <w:sz w:val="18"/>
              </w:rPr>
              <w:t>5040000 除以 7000；条件见 2.1 节</w:t>
            </w:r>
          </w:p>
        </w:tc>
      </w:tr>
      <w:tr>
        <w:tc>
          <w:tcPr>
            <w:tcW w:type="dxa" w:w="2381"/>
            <w:shd w:val="clear" w:color="auto" w:fill="F2F4F6"/>
          </w:tcPr>
          <w:p>
            <w:pPr>
              <w:spacing w:before="0" w:after="20" w:line="245" w:lineRule="auto"/>
            </w:pPr>
            <w:r/>
            <w:r>
              <w:rPr>
                <w:rFonts w:ascii="Times New Roman" w:hAnsi="Times New Roman" w:eastAsia="宋体" w:cs="Times New Roman"/>
                <w:b/>
                <w:i w:val="0"/>
                <w:sz w:val="18"/>
              </w:rPr>
              <w:t>T_span' 上界</w:t>
            </w:r>
          </w:p>
        </w:tc>
        <w:tc>
          <w:tcPr>
            <w:tcW w:type="dxa" w:w="2041"/>
            <w:shd w:val="clear" w:color="auto" w:fill="F2F4F6"/>
          </w:tcPr>
          <w:p>
            <w:pPr>
              <w:spacing w:before="0" w:after="20" w:line="245" w:lineRule="auto"/>
            </w:pPr>
            <w:r/>
            <w:r>
              <w:rPr>
                <w:rFonts w:ascii="Times New Roman" w:hAnsi="Times New Roman" w:eastAsia="宋体" w:cs="Times New Roman"/>
                <w:b w:val="0"/>
                <w:i w:val="0"/>
                <w:sz w:val="18"/>
              </w:rPr>
              <w:t>11.38 天</w:t>
            </w:r>
          </w:p>
        </w:tc>
        <w:tc>
          <w:tcPr>
            <w:tcW w:type="dxa" w:w="1814"/>
            <w:shd w:val="clear" w:color="auto" w:fill="F2F4F6"/>
          </w:tcPr>
          <w:p>
            <w:pPr>
              <w:spacing w:before="0" w:after="20" w:line="245" w:lineRule="auto"/>
            </w:pPr>
            <w:r/>
            <w:r>
              <w:rPr>
                <w:rFonts w:ascii="Times New Roman" w:hAnsi="Times New Roman" w:eastAsia="宋体" w:cs="Times New Roman"/>
                <w:b w:val="0"/>
                <w:i w:val="0"/>
                <w:sz w:val="18"/>
              </w:rPr>
              <w:t>11.4 天</w:t>
            </w:r>
          </w:p>
        </w:tc>
        <w:tc>
          <w:tcPr>
            <w:tcW w:type="dxa" w:w="2948"/>
            <w:shd w:val="clear" w:color="auto" w:fill="F2F4F6"/>
          </w:tcPr>
          <w:p>
            <w:pPr>
              <w:spacing w:before="0" w:after="20" w:line="245" w:lineRule="auto"/>
            </w:pPr>
            <w:r/>
            <w:r>
              <w:rPr>
                <w:rFonts w:ascii="Times New Roman" w:hAnsi="Times New Roman" w:eastAsia="宋体" w:cs="Times New Roman"/>
                <w:b w:val="0"/>
                <w:i w:val="0"/>
                <w:sz w:val="18"/>
              </w:rPr>
              <w:t>2 的 14 次幂减 1 分钟换算为天</w:t>
            </w:r>
          </w:p>
        </w:tc>
      </w:tr>
      <w:tr>
        <w:tc>
          <w:tcPr>
            <w:tcW w:type="dxa" w:w="2381"/>
          </w:tcPr>
          <w:p>
            <w:pPr>
              <w:spacing w:before="0" w:after="20" w:line="245" w:lineRule="auto"/>
            </w:pPr>
            <w:r/>
            <w:r>
              <w:rPr>
                <w:rFonts w:ascii="Times New Roman" w:hAnsi="Times New Roman" w:eastAsia="宋体" w:cs="Times New Roman"/>
                <w:b/>
                <w:i w:val="0"/>
                <w:sz w:val="18"/>
              </w:rPr>
              <w:t>单格网时间节点上界</w:t>
            </w:r>
          </w:p>
        </w:tc>
        <w:tc>
          <w:tcPr>
            <w:tcW w:type="dxa" w:w="2041"/>
          </w:tcPr>
          <w:p>
            <w:pPr>
              <w:spacing w:before="0" w:after="20" w:line="245" w:lineRule="auto"/>
            </w:pPr>
            <w:r/>
            <w:r>
              <w:rPr>
                <w:rFonts w:ascii="Times New Roman" w:hAnsi="Times New Roman" w:eastAsia="宋体" w:cs="Times New Roman"/>
                <w:b w:val="0"/>
                <w:i w:val="0"/>
                <w:sz w:val="18"/>
              </w:rPr>
              <w:t>28</w:t>
            </w:r>
          </w:p>
        </w:tc>
        <w:tc>
          <w:tcPr>
            <w:tcW w:type="dxa" w:w="1814"/>
          </w:tcPr>
          <w:p>
            <w:pPr>
              <w:spacing w:before="0" w:after="20" w:line="245" w:lineRule="auto"/>
            </w:pPr>
            <w:r/>
            <w:r>
              <w:rPr>
                <w:rFonts w:ascii="Times New Roman" w:hAnsi="Times New Roman" w:eastAsia="宋体" w:cs="Times New Roman"/>
                <w:b w:val="0"/>
                <w:i w:val="0"/>
                <w:sz w:val="18"/>
              </w:rPr>
              <w:t>2 乘 Lt_max = 28</w:t>
            </w:r>
          </w:p>
        </w:tc>
        <w:tc>
          <w:tcPr>
            <w:tcW w:type="dxa" w:w="2948"/>
          </w:tcPr>
          <w:p>
            <w:pPr>
              <w:spacing w:before="0" w:after="20" w:line="245" w:lineRule="auto"/>
            </w:pPr>
            <w:r/>
            <w:r>
              <w:rPr>
                <w:rFonts w:ascii="Times New Roman" w:hAnsi="Times New Roman" w:eastAsia="宋体" w:cs="Times New Roman"/>
                <w:b w:val="0"/>
                <w:i w:val="0"/>
                <w:sz w:val="18"/>
              </w:rPr>
              <w:t>理论界</w:t>
            </w:r>
          </w:p>
        </w:tc>
      </w:tr>
      <w:tr>
        <w:tc>
          <w:tcPr>
            <w:tcW w:type="dxa" w:w="2381"/>
            <w:shd w:val="clear" w:color="auto" w:fill="F2F4F6"/>
          </w:tcPr>
          <w:p>
            <w:pPr>
              <w:spacing w:before="0" w:after="20" w:line="245" w:lineRule="auto"/>
            </w:pPr>
            <w:r/>
            <w:r>
              <w:rPr>
                <w:rFonts w:ascii="Times New Roman" w:hAnsi="Times New Roman" w:eastAsia="宋体" w:cs="Times New Roman"/>
                <w:b/>
                <w:i w:val="0"/>
                <w:sz w:val="18"/>
              </w:rPr>
              <w:t>样例事件节点数</w:t>
            </w:r>
          </w:p>
        </w:tc>
        <w:tc>
          <w:tcPr>
            <w:tcW w:type="dxa" w:w="2041"/>
            <w:shd w:val="clear" w:color="auto" w:fill="F2F4F6"/>
          </w:tcPr>
          <w:p>
            <w:pPr>
              <w:spacing w:before="0" w:after="20" w:line="245" w:lineRule="auto"/>
            </w:pPr>
            <w:r/>
            <w:r>
              <w:rPr>
                <w:rFonts w:ascii="Times New Roman" w:hAnsi="Times New Roman" w:eastAsia="宋体" w:cs="Times New Roman"/>
                <w:b w:val="0"/>
                <w:i w:val="0"/>
                <w:sz w:val="18"/>
              </w:rPr>
              <w:t>140</w:t>
            </w:r>
          </w:p>
        </w:tc>
        <w:tc>
          <w:tcPr>
            <w:tcW w:type="dxa" w:w="1814"/>
            <w:shd w:val="clear" w:color="auto" w:fill="F2F4F6"/>
          </w:tcPr>
          <w:p>
            <w:pPr>
              <w:spacing w:before="0" w:after="20" w:line="245" w:lineRule="auto"/>
            </w:pPr>
            <w:r/>
            <w:r>
              <w:rPr>
                <w:rFonts w:ascii="Times New Roman" w:hAnsi="Times New Roman" w:eastAsia="宋体" w:cs="Times New Roman"/>
                <w:b w:val="0"/>
                <w:i w:val="0"/>
                <w:sz w:val="18"/>
              </w:rPr>
              <w:t>140</w:t>
            </w:r>
          </w:p>
        </w:tc>
        <w:tc>
          <w:tcPr>
            <w:tcW w:type="dxa" w:w="2948"/>
            <w:shd w:val="clear" w:color="auto" w:fill="F2F4F6"/>
          </w:tcPr>
          <w:p>
            <w:pPr>
              <w:spacing w:before="0" w:after="20" w:line="245" w:lineRule="auto"/>
            </w:pPr>
            <w:r/>
            <w:r>
              <w:rPr>
                <w:rFonts w:ascii="Times New Roman" w:hAnsi="Times New Roman" w:eastAsia="宋体" w:cs="Times New Roman"/>
                <w:b w:val="0"/>
                <w:i w:val="0"/>
                <w:sz w:val="18"/>
              </w:rPr>
              <w:t>5 个事件乘 28</w:t>
            </w:r>
          </w:p>
        </w:tc>
      </w:tr>
      <w:tr>
        <w:tc>
          <w:tcPr>
            <w:tcW w:type="dxa" w:w="2381"/>
          </w:tcPr>
          <w:p>
            <w:pPr>
              <w:spacing w:before="0" w:after="20" w:line="245" w:lineRule="auto"/>
            </w:pPr>
            <w:r/>
            <w:r>
              <w:rPr>
                <w:rFonts w:ascii="Times New Roman" w:hAnsi="Times New Roman" w:eastAsia="宋体" w:cs="Times New Roman"/>
                <w:b/>
                <w:i w:val="0"/>
                <w:sz w:val="18"/>
              </w:rPr>
              <w:t>Lt 与挂载层级 k 的换算</w:t>
            </w:r>
          </w:p>
        </w:tc>
        <w:tc>
          <w:tcPr>
            <w:tcW w:type="dxa" w:w="2041"/>
          </w:tcPr>
          <w:p>
            <w:pPr>
              <w:spacing w:before="0" w:after="20" w:line="245" w:lineRule="auto"/>
            </w:pPr>
            <w:r/>
            <w:r>
              <w:rPr>
                <w:rFonts w:ascii="Times New Roman" w:hAnsi="Times New Roman" w:eastAsia="宋体" w:cs="Times New Roman"/>
                <w:b w:val="0"/>
                <w:i w:val="0"/>
                <w:sz w:val="18"/>
              </w:rPr>
              <w:t>15 档全部满足</w:t>
            </w:r>
          </w:p>
        </w:tc>
        <w:tc>
          <w:tcPr>
            <w:tcW w:type="dxa" w:w="1814"/>
          </w:tcPr>
          <w:p>
            <w:pPr>
              <w:spacing w:before="0" w:after="20" w:line="245" w:lineRule="auto"/>
            </w:pPr>
            <w:r/>
            <w:r>
              <w:rPr>
                <w:rFonts w:ascii="Times New Roman" w:hAnsi="Times New Roman" w:eastAsia="宋体" w:cs="Times New Roman"/>
                <w:b w:val="0"/>
                <w:i w:val="0"/>
                <w:sz w:val="18"/>
              </w:rPr>
              <w:t>表 B-1</w:t>
            </w:r>
          </w:p>
        </w:tc>
        <w:tc>
          <w:tcPr>
            <w:tcW w:type="dxa" w:w="2948"/>
          </w:tcPr>
          <w:p>
            <w:pPr>
              <w:spacing w:before="0" w:after="20" w:line="245" w:lineRule="auto"/>
            </w:pPr>
            <w:r/>
            <w:r>
              <w:rPr>
                <w:rFonts w:ascii="Times New Roman" w:hAnsi="Times New Roman" w:eastAsia="宋体" w:cs="Times New Roman"/>
                <w:b w:val="0"/>
                <w:i w:val="0"/>
                <w:sz w:val="18"/>
              </w:rPr>
              <w:t>T_span' 除以 2 的 k 次幂等于 2 的 14 减 k 次幂</w:t>
            </w:r>
          </w:p>
        </w:tc>
      </w:tr>
      <w:tr>
        <w:tc>
          <w:tcPr>
            <w:tcW w:type="dxa" w:w="2381"/>
            <w:shd w:val="clear" w:color="auto" w:fill="F2F4F6"/>
          </w:tcPr>
          <w:p>
            <w:pPr>
              <w:spacing w:before="0" w:after="20" w:line="245" w:lineRule="auto"/>
            </w:pPr>
            <w:r/>
            <w:r>
              <w:rPr>
                <w:rFonts w:ascii="Times New Roman" w:hAnsi="Times New Roman" w:eastAsia="宋体" w:cs="Times New Roman"/>
                <w:b/>
                <w:i w:val="0"/>
                <w:sz w:val="18"/>
              </w:rPr>
              <w:t>A01、A02、A03 量化</w:t>
            </w:r>
          </w:p>
        </w:tc>
        <w:tc>
          <w:tcPr>
            <w:tcW w:type="dxa" w:w="2041"/>
            <w:shd w:val="clear" w:color="auto" w:fill="F2F4F6"/>
          </w:tcPr>
          <w:p>
            <w:pPr>
              <w:spacing w:before="0" w:after="20" w:line="245" w:lineRule="auto"/>
            </w:pPr>
            <w:r/>
            <w:r>
              <w:rPr>
                <w:rFonts w:ascii="Times New Roman" w:hAnsi="Times New Roman" w:eastAsia="宋体" w:cs="Times New Roman"/>
                <w:b w:val="0"/>
                <w:i w:val="0"/>
                <w:sz w:val="18"/>
              </w:rPr>
              <w:t>37、110、91</w:t>
            </w:r>
          </w:p>
        </w:tc>
        <w:tc>
          <w:tcPr>
            <w:tcW w:type="dxa" w:w="1814"/>
            <w:shd w:val="clear" w:color="auto" w:fill="F2F4F6"/>
          </w:tcPr>
          <w:p>
            <w:pPr>
              <w:spacing w:before="0" w:after="20" w:line="245" w:lineRule="auto"/>
            </w:pPr>
            <w:r/>
            <w:r>
              <w:rPr>
                <w:rFonts w:ascii="Times New Roman" w:hAnsi="Times New Roman" w:eastAsia="宋体" w:cs="Times New Roman"/>
                <w:b w:val="0"/>
                <w:i w:val="0"/>
                <w:sz w:val="18"/>
              </w:rPr>
              <w:t>37、110、91</w:t>
            </w:r>
          </w:p>
        </w:tc>
        <w:tc>
          <w:tcPr>
            <w:tcW w:type="dxa" w:w="2948"/>
            <w:shd w:val="clear" w:color="auto" w:fill="F2F4F6"/>
          </w:tcPr>
          <w:p>
            <w:pPr>
              <w:spacing w:before="0" w:after="20" w:line="245" w:lineRule="auto"/>
            </w:pPr>
            <w:r/>
            <w:r>
              <w:rPr>
                <w:rFonts w:ascii="Times New Roman" w:hAnsi="Times New Roman" w:eastAsia="宋体" w:cs="Times New Roman"/>
                <w:b w:val="0"/>
                <w:i w:val="0"/>
                <w:sz w:val="18"/>
              </w:rPr>
              <w:t>半格进位公式</w:t>
            </w:r>
          </w:p>
        </w:tc>
      </w:tr>
      <w:tr>
        <w:tc>
          <w:tcPr>
            <w:tcW w:type="dxa" w:w="2381"/>
          </w:tcPr>
          <w:p>
            <w:pPr>
              <w:spacing w:before="0" w:after="20" w:line="245" w:lineRule="auto"/>
            </w:pPr>
            <w:r/>
            <w:r>
              <w:rPr>
                <w:rFonts w:ascii="Times New Roman" w:hAnsi="Times New Roman" w:eastAsia="宋体" w:cs="Times New Roman"/>
                <w:b/>
                <w:i w:val="0"/>
                <w:sz w:val="18"/>
              </w:rPr>
              <w:t>A04 量化 0.35 与 0.90</w:t>
            </w:r>
          </w:p>
        </w:tc>
        <w:tc>
          <w:tcPr>
            <w:tcW w:type="dxa" w:w="2041"/>
          </w:tcPr>
          <w:p>
            <w:pPr>
              <w:spacing w:before="0" w:after="20" w:line="245" w:lineRule="auto"/>
            </w:pPr>
            <w:r/>
            <w:r>
              <w:rPr>
                <w:rFonts w:ascii="Times New Roman" w:hAnsi="Times New Roman" w:eastAsia="宋体" w:cs="Times New Roman"/>
                <w:b w:val="0"/>
                <w:i w:val="0"/>
                <w:sz w:val="18"/>
              </w:rPr>
              <w:t>89 与 230</w:t>
            </w:r>
          </w:p>
        </w:tc>
        <w:tc>
          <w:tcPr>
            <w:tcW w:type="dxa" w:w="1814"/>
          </w:tcPr>
          <w:p>
            <w:pPr>
              <w:spacing w:before="0" w:after="20" w:line="245" w:lineRule="auto"/>
            </w:pPr>
            <w:r/>
            <w:r>
              <w:rPr>
                <w:rFonts w:ascii="Times New Roman" w:hAnsi="Times New Roman" w:eastAsia="宋体" w:cs="Times New Roman"/>
                <w:b w:val="0"/>
                <w:i w:val="0"/>
                <w:sz w:val="18"/>
              </w:rPr>
              <w:t>89 与 230</w:t>
            </w:r>
          </w:p>
        </w:tc>
        <w:tc>
          <w:tcPr>
            <w:tcW w:type="dxa" w:w="2948"/>
          </w:tcPr>
          <w:p>
            <w:pPr>
              <w:spacing w:before="0" w:after="20" w:line="245" w:lineRule="auto"/>
            </w:pPr>
            <w:r/>
            <w:r>
              <w:rPr>
                <w:rFonts w:ascii="Times New Roman" w:hAnsi="Times New Roman" w:eastAsia="宋体" w:cs="Times New Roman"/>
                <w:b w:val="0"/>
                <w:i w:val="0"/>
                <w:sz w:val="18"/>
              </w:rPr>
              <w:t>半格进位公式</w:t>
            </w:r>
          </w:p>
        </w:tc>
      </w:tr>
    </w:tbl>
    <w:p>
      <w:pPr>
        <w:spacing w:before="0" w:after="80" w:line="259" w:lineRule="auto"/>
      </w:pPr>
      <w:r>
        <w:rPr>
          <w:rFonts w:ascii="Times New Roman" w:hAnsi="Times New Roman" w:eastAsia="宋体" w:cs="Times New Roman"/>
          <w:b w:val="0"/>
          <w:i w:val="0"/>
          <w:sz w:val="17"/>
        </w:rPr>
        <w:t>注：时间量下降倍数一项，其数值 720 与文档一致，但成立条件依赖时间树锚点的修正，故同时列入 2.1 节。</w:t>
      </w:r>
    </w:p>
    <w:p>
      <w:pPr>
        <w:keepNext/>
        <w:spacing w:before="180" w:after="80" w:line="252" w:lineRule="auto"/>
      </w:pPr>
      <w:r>
        <w:rPr>
          <w:rFonts w:ascii="Times New Roman" w:hAnsi="Times New Roman" w:eastAsia="宋体" w:cs="Times New Roman"/>
          <w:b/>
          <w:i w:val="0"/>
          <w:sz w:val="26"/>
        </w:rPr>
        <w:t>四　对现有交付物的回改清单</w:t>
      </w:r>
    </w:p>
    <w:p>
      <w:pPr>
        <w:spacing w:before="0" w:after="80" w:line="259" w:lineRule="auto"/>
      </w:pPr>
      <w:r>
        <w:rPr>
          <w:rFonts w:ascii="Times New Roman" w:hAnsi="Times New Roman" w:eastAsia="宋体" w:cs="Times New Roman"/>
          <w:b w:val="0"/>
          <w:i w:val="0"/>
          <w:sz w:val="21"/>
        </w:rPr>
        <w:t>按改动位置归并，共涉及三处。改动集中在两份文档与一份样例，汇报稿需要改动的只有一页。</w:t>
      </w:r>
    </w:p>
    <w:p>
      <w:pPr>
        <w:keepNext/>
        <w:spacing w:before="100" w:after="40" w:line="252" w:lineRule="auto"/>
      </w:pPr>
      <w:r>
        <w:rPr>
          <w:rFonts w:ascii="Times New Roman" w:hAnsi="Times New Roman" w:eastAsia="宋体" w:cs="Times New Roman"/>
          <w:b/>
          <w:i w:val="0"/>
          <w:sz w:val="19"/>
        </w:rPr>
        <w:t>表4-1　回改清单</w:t>
      </w:r>
    </w:p>
    <w:tbl>
      <w:tblPr>
        <w:tblStyle w:val="TableGrid"/>
        <w:jc w:val="center"/>
        <w:tblLook w:firstColumn="1" w:firstRow="1" w:lastColumn="0" w:lastRow="0" w:noHBand="0" w:noVBand="1" w:val="04A0"/>
        <w:tblLayout w:type="fixed"/>
        <w:tblCellMar>
          <w:top w:w="28" w:type="dxa"/>
          <w:left w:w="120" w:type="dxa"/>
          <w:bottom w:w="28" w:type="dxa"/>
          <w:right w:w="120" w:type="dxa"/>
        </w:tblCellMar>
        <w:tblW w:w="9184" w:type="dxa"/>
        <w:tblInd w:w="120" w:type="dxa"/>
      </w:tblPr>
      <w:tblGrid>
        <w:gridCol w:w="2608"/>
        <w:gridCol w:w="1871"/>
        <w:gridCol w:w="4139"/>
        <w:gridCol w:w="566"/>
      </w:tblGrid>
      <w:tr>
        <w:trPr>
          <w:tblHeader/>
        </w:trPr>
        <w:tc>
          <w:tcPr>
            <w:tcW w:type="dxa" w:w="2608"/>
            <w:shd w:val="clear" w:color="auto" w:fill="2F4858"/>
          </w:tcPr>
          <w:p>
            <w:pPr>
              <w:spacing w:before="0" w:after="20" w:line="245" w:lineRule="auto"/>
            </w:pPr>
            <w:r/>
            <w:r>
              <w:rPr>
                <w:rFonts w:ascii="Times New Roman" w:hAnsi="Times New Roman" w:eastAsia="宋体" w:cs="Times New Roman"/>
                <w:b/>
                <w:i w:val="0"/>
                <w:color w:val="FFFFFF"/>
                <w:sz w:val="18"/>
              </w:rPr>
              <w:t>交付物</w:t>
            </w:r>
          </w:p>
        </w:tc>
        <w:tc>
          <w:tcPr>
            <w:tcW w:type="dxa" w:w="1871"/>
            <w:shd w:val="clear" w:color="auto" w:fill="2F4858"/>
          </w:tcPr>
          <w:p>
            <w:pPr>
              <w:spacing w:before="0" w:after="20" w:line="245" w:lineRule="auto"/>
            </w:pPr>
            <w:r/>
            <w:r>
              <w:rPr>
                <w:rFonts w:ascii="Times New Roman" w:hAnsi="Times New Roman" w:eastAsia="宋体" w:cs="Times New Roman"/>
                <w:b/>
                <w:i w:val="0"/>
                <w:color w:val="FFFFFF"/>
                <w:sz w:val="18"/>
              </w:rPr>
              <w:t>位置</w:t>
            </w:r>
          </w:p>
        </w:tc>
        <w:tc>
          <w:tcPr>
            <w:tcW w:type="dxa" w:w="4139"/>
            <w:shd w:val="clear" w:color="auto" w:fill="2F4858"/>
          </w:tcPr>
          <w:p>
            <w:pPr>
              <w:spacing w:before="0" w:after="20" w:line="245" w:lineRule="auto"/>
            </w:pPr>
            <w:r/>
            <w:r>
              <w:rPr>
                <w:rFonts w:ascii="Times New Roman" w:hAnsi="Times New Roman" w:eastAsia="宋体" w:cs="Times New Roman"/>
                <w:b/>
                <w:i w:val="0"/>
                <w:color w:val="FFFFFF"/>
                <w:sz w:val="18"/>
              </w:rPr>
              <w:t>改动</w:t>
            </w:r>
          </w:p>
        </w:tc>
        <w:tc>
          <w:tcPr>
            <w:tcW w:type="dxa" w:w="566"/>
            <w:shd w:val="clear" w:color="auto" w:fill="2F4858"/>
          </w:tcPr>
          <w:p>
            <w:pPr>
              <w:spacing w:before="0" w:after="20" w:line="245" w:lineRule="auto"/>
            </w:pPr>
            <w:r/>
            <w:r>
              <w:rPr>
                <w:rFonts w:ascii="Times New Roman" w:hAnsi="Times New Roman" w:eastAsia="宋体" w:cs="Times New Roman"/>
                <w:b/>
                <w:i w:val="0"/>
                <w:color w:val="FFFFFF"/>
                <w:sz w:val="18"/>
              </w:rPr>
              <w:t>等级</w:t>
            </w:r>
          </w:p>
        </w:tc>
      </w:tr>
      <w:tr>
        <w:tc>
          <w:tcPr>
            <w:tcW w:type="dxa" w:w="2608"/>
          </w:tcPr>
          <w:p>
            <w:pPr>
              <w:spacing w:before="0" w:after="20" w:line="245" w:lineRule="auto"/>
            </w:pPr>
            <w:r/>
            <w:r>
              <w:rPr>
                <w:rFonts w:ascii="Times New Roman" w:hAnsi="Times New Roman" w:eastAsia="宋体" w:cs="Times New Roman"/>
                <w:b/>
                <w:i w:val="0"/>
                <w:sz w:val="18"/>
              </w:rPr>
              <w:t>技术讨论说明_时间粒度与网格数据密态表征.docx</w:t>
            </w:r>
          </w:p>
        </w:tc>
        <w:tc>
          <w:tcPr>
            <w:tcW w:type="dxa" w:w="1871"/>
          </w:tcPr>
          <w:p>
            <w:pPr>
              <w:spacing w:before="0" w:after="20" w:line="245" w:lineRule="auto"/>
            </w:pPr>
            <w:r/>
            <w:r>
              <w:rPr>
                <w:rFonts w:ascii="Times New Roman" w:hAnsi="Times New Roman" w:eastAsia="宋体" w:cs="Times New Roman"/>
                <w:b w:val="0"/>
                <w:i w:val="0"/>
                <w:sz w:val="18"/>
              </w:rPr>
              <w:t>定长键位向量结构一节</w:t>
            </w:r>
          </w:p>
        </w:tc>
        <w:tc>
          <w:tcPr>
            <w:tcW w:type="dxa" w:w="4139"/>
          </w:tcPr>
          <w:p>
            <w:pPr>
              <w:spacing w:before="0" w:after="20" w:line="245" w:lineRule="auto"/>
            </w:pPr>
            <w:r/>
            <w:r>
              <w:rPr>
                <w:rFonts w:ascii="Times New Roman" w:hAnsi="Times New Roman" w:eastAsia="宋体" w:cs="Times New Roman"/>
                <w:b w:val="0"/>
                <w:i w:val="0"/>
                <w:sz w:val="18"/>
              </w:rPr>
              <w:t>位序改为 X'、Y'、Z、L、Toff、Lt、ver 并删除 geo_level；正文明示合计 64 位</w:t>
            </w:r>
          </w:p>
        </w:tc>
        <w:tc>
          <w:tcPr>
            <w:tcW w:type="dxa" w:w="566"/>
          </w:tcPr>
          <w:p>
            <w:pPr>
              <w:spacing w:before="0" w:after="20" w:line="245" w:lineRule="auto"/>
            </w:pPr>
            <w:r/>
            <w:r>
              <w:rPr>
                <w:rFonts w:ascii="Times New Roman" w:hAnsi="Times New Roman" w:eastAsia="宋体" w:cs="Times New Roman"/>
                <w:b w:val="0"/>
                <w:i w:val="0"/>
                <w:color w:val="8A3324"/>
                <w:sz w:val="18"/>
              </w:rPr>
              <w:t>高</w:t>
            </w:r>
          </w:p>
        </w:tc>
      </w:tr>
      <w:tr>
        <w:tc>
          <w:tcPr>
            <w:tcW w:type="dxa" w:w="2608"/>
            <w:shd w:val="clear" w:color="auto" w:fill="F2F4F6"/>
          </w:tcPr>
          <w:p>
            <w:pPr>
              <w:spacing w:before="0" w:after="20" w:line="245" w:lineRule="auto"/>
            </w:pPr>
            <w:r/>
            <w:r>
              <w:rPr>
                <w:rFonts w:ascii="Times New Roman" w:hAnsi="Times New Roman" w:eastAsia="宋体" w:cs="Times New Roman"/>
                <w:b/>
                <w:i w:val="0"/>
                <w:sz w:val="18"/>
              </w:rPr>
              <w:t>技术讨论说明_时间粒度与网格数据密态表征.docx</w:t>
            </w:r>
          </w:p>
        </w:tc>
        <w:tc>
          <w:tcPr>
            <w:tcW w:type="dxa" w:w="1871"/>
            <w:shd w:val="clear" w:color="auto" w:fill="F2F4F6"/>
          </w:tcPr>
          <w:p>
            <w:pPr>
              <w:spacing w:before="0" w:after="20" w:line="245" w:lineRule="auto"/>
            </w:pPr>
            <w:r/>
            <w:r>
              <w:rPr>
                <w:rFonts w:ascii="Times New Roman" w:hAnsi="Times New Roman" w:eastAsia="宋体" w:cs="Times New Roman"/>
                <w:b w:val="0"/>
                <w:i w:val="0"/>
                <w:sz w:val="18"/>
              </w:rPr>
              <w:t>D2 统一位宽一节</w:t>
            </w:r>
          </w:p>
        </w:tc>
        <w:tc>
          <w:tcPr>
            <w:tcW w:type="dxa" w:w="4139"/>
            <w:shd w:val="clear" w:color="auto" w:fill="F2F4F6"/>
          </w:tcPr>
          <w:p>
            <w:pPr>
              <w:spacing w:before="0" w:after="20" w:line="245" w:lineRule="auto"/>
            </w:pPr>
            <w:r/>
            <w:r>
              <w:rPr>
                <w:rFonts w:ascii="Times New Roman" w:hAnsi="Times New Roman" w:eastAsia="宋体" w:cs="Times New Roman"/>
                <w:b w:val="0"/>
                <w:i w:val="0"/>
                <w:sz w:val="18"/>
              </w:rPr>
              <w:t>A02 值域由 0 至 10 的 6 次方改为 0 至 20000</w:t>
            </w:r>
          </w:p>
        </w:tc>
        <w:tc>
          <w:tcPr>
            <w:tcW w:type="dxa" w:w="566"/>
            <w:shd w:val="clear" w:color="auto" w:fill="F2F4F6"/>
          </w:tcPr>
          <w:p>
            <w:pPr>
              <w:spacing w:before="0" w:after="20" w:line="245" w:lineRule="auto"/>
            </w:pPr>
            <w:r/>
            <w:r>
              <w:rPr>
                <w:rFonts w:ascii="Times New Roman" w:hAnsi="Times New Roman" w:eastAsia="宋体" w:cs="Times New Roman"/>
                <w:b w:val="0"/>
                <w:i w:val="0"/>
                <w:color w:val="8A3324"/>
                <w:sz w:val="18"/>
              </w:rPr>
              <w:t>高</w:t>
            </w:r>
          </w:p>
        </w:tc>
      </w:tr>
      <w:tr>
        <w:tc>
          <w:tcPr>
            <w:tcW w:type="dxa" w:w="2608"/>
          </w:tcPr>
          <w:p>
            <w:pPr>
              <w:spacing w:before="0" w:after="20" w:line="245" w:lineRule="auto"/>
            </w:pPr>
            <w:r/>
            <w:r>
              <w:rPr>
                <w:rFonts w:ascii="Times New Roman" w:hAnsi="Times New Roman" w:eastAsia="宋体" w:cs="Times New Roman"/>
                <w:b/>
                <w:i w:val="0"/>
                <w:sz w:val="18"/>
              </w:rPr>
              <w:t>技术讨论说明_时间粒度与网格数据密态表征.docx</w:t>
            </w:r>
          </w:p>
        </w:tc>
        <w:tc>
          <w:tcPr>
            <w:tcW w:type="dxa" w:w="1871"/>
          </w:tcPr>
          <w:p>
            <w:pPr>
              <w:spacing w:before="0" w:after="20" w:line="245" w:lineRule="auto"/>
            </w:pPr>
            <w:r/>
            <w:r>
              <w:rPr>
                <w:rFonts w:ascii="Times New Roman" w:hAnsi="Times New Roman" w:eastAsia="宋体" w:cs="Times New Roman"/>
                <w:b w:val="0"/>
                <w:i w:val="0"/>
                <w:sz w:val="18"/>
              </w:rPr>
              <w:t>量化规则表述处</w:t>
            </w:r>
          </w:p>
        </w:tc>
        <w:tc>
          <w:tcPr>
            <w:tcW w:type="dxa" w:w="4139"/>
          </w:tcPr>
          <w:p>
            <w:pPr>
              <w:spacing w:before="0" w:after="20" w:line="245" w:lineRule="auto"/>
            </w:pPr>
            <w:r/>
            <w:r>
              <w:rPr>
                <w:rFonts w:ascii="Times New Roman" w:hAnsi="Times New Roman" w:eastAsia="宋体" w:cs="Times New Roman"/>
                <w:b w:val="0"/>
                <w:i w:val="0"/>
                <w:sz w:val="18"/>
              </w:rPr>
              <w:t>补写取整方向为加 0.5 后向下取整</w:t>
            </w:r>
          </w:p>
        </w:tc>
        <w:tc>
          <w:tcPr>
            <w:tcW w:type="dxa" w:w="566"/>
          </w:tcPr>
          <w:p>
            <w:pPr>
              <w:spacing w:before="0" w:after="20" w:line="245" w:lineRule="auto"/>
            </w:pPr>
            <w:r/>
            <w:r>
              <w:rPr>
                <w:rFonts w:ascii="Times New Roman" w:hAnsi="Times New Roman" w:eastAsia="宋体" w:cs="Times New Roman"/>
                <w:b w:val="0"/>
                <w:i w:val="0"/>
                <w:sz w:val="18"/>
              </w:rPr>
              <w:t>中</w:t>
            </w:r>
          </w:p>
        </w:tc>
      </w:tr>
      <w:tr>
        <w:tc>
          <w:tcPr>
            <w:tcW w:type="dxa" w:w="2608"/>
            <w:shd w:val="clear" w:color="auto" w:fill="F2F4F6"/>
          </w:tcPr>
          <w:p>
            <w:pPr>
              <w:spacing w:before="0" w:after="20" w:line="245" w:lineRule="auto"/>
            </w:pPr>
            <w:r/>
            <w:r>
              <w:rPr>
                <w:rFonts w:ascii="Times New Roman" w:hAnsi="Times New Roman" w:eastAsia="宋体" w:cs="Times New Roman"/>
                <w:b/>
                <w:i w:val="0"/>
                <w:sz w:val="18"/>
              </w:rPr>
              <w:t>DQG-4D说明书修订章节.docx</w:t>
            </w:r>
          </w:p>
        </w:tc>
        <w:tc>
          <w:tcPr>
            <w:tcW w:type="dxa" w:w="1871"/>
            <w:shd w:val="clear" w:color="auto" w:fill="F2F4F6"/>
          </w:tcPr>
          <w:p>
            <w:pPr>
              <w:spacing w:before="0" w:after="20" w:line="245" w:lineRule="auto"/>
            </w:pPr>
            <w:r/>
            <w:r>
              <w:rPr>
                <w:rFonts w:ascii="Times New Roman" w:hAnsi="Times New Roman" w:eastAsia="宋体" w:cs="Times New Roman"/>
                <w:b w:val="0"/>
                <w:i w:val="0"/>
                <w:sz w:val="18"/>
              </w:rPr>
              <w:t>表 B-1 与步骤 1.3A</w:t>
            </w:r>
          </w:p>
        </w:tc>
        <w:tc>
          <w:tcPr>
            <w:tcW w:type="dxa" w:w="4139"/>
            <w:shd w:val="clear" w:color="auto" w:fill="F2F4F6"/>
          </w:tcPr>
          <w:p>
            <w:pPr>
              <w:spacing w:before="0" w:after="20" w:line="245" w:lineRule="auto"/>
            </w:pPr>
            <w:r/>
            <w:r>
              <w:rPr>
                <w:rFonts w:ascii="Times New Roman" w:hAnsi="Times New Roman" w:eastAsia="宋体" w:cs="Times New Roman"/>
                <w:b w:val="0"/>
                <w:i w:val="0"/>
                <w:sz w:val="18"/>
              </w:rPr>
              <w:t>补写时间树原点定义：Toff=0 锚点为窗口起点之前 120 分钟</w:t>
            </w:r>
          </w:p>
        </w:tc>
        <w:tc>
          <w:tcPr>
            <w:tcW w:type="dxa" w:w="566"/>
            <w:shd w:val="clear" w:color="auto" w:fill="F2F4F6"/>
          </w:tcPr>
          <w:p>
            <w:pPr>
              <w:spacing w:before="0" w:after="20" w:line="245" w:lineRule="auto"/>
            </w:pPr>
            <w:r/>
            <w:r>
              <w:rPr>
                <w:rFonts w:ascii="Times New Roman" w:hAnsi="Times New Roman" w:eastAsia="宋体" w:cs="Times New Roman"/>
                <w:b w:val="0"/>
                <w:i w:val="0"/>
                <w:color w:val="8A3324"/>
                <w:sz w:val="18"/>
              </w:rPr>
              <w:t>高</w:t>
            </w:r>
          </w:p>
        </w:tc>
      </w:tr>
      <w:tr>
        <w:tc>
          <w:tcPr>
            <w:tcW w:type="dxa" w:w="2608"/>
          </w:tcPr>
          <w:p>
            <w:pPr>
              <w:spacing w:before="0" w:after="20" w:line="245" w:lineRule="auto"/>
            </w:pPr>
            <w:r/>
            <w:r>
              <w:rPr>
                <w:rFonts w:ascii="Times New Roman" w:hAnsi="Times New Roman" w:eastAsia="宋体" w:cs="Times New Roman"/>
                <w:b/>
                <w:i w:val="0"/>
                <w:sz w:val="18"/>
              </w:rPr>
              <w:t>DQG-4D说明书修订章节.docx</w:t>
            </w:r>
          </w:p>
        </w:tc>
        <w:tc>
          <w:tcPr>
            <w:tcW w:type="dxa" w:w="1871"/>
          </w:tcPr>
          <w:p>
            <w:pPr>
              <w:spacing w:before="0" w:after="20" w:line="245" w:lineRule="auto"/>
            </w:pPr>
            <w:r/>
            <w:r>
              <w:rPr>
                <w:rFonts w:ascii="Times New Roman" w:hAnsi="Times New Roman" w:eastAsia="宋体" w:cs="Times New Roman"/>
                <w:b w:val="0"/>
                <w:i w:val="0"/>
                <w:sz w:val="18"/>
              </w:rPr>
              <w:t>步骤 2.2A 规范分解</w:t>
            </w:r>
          </w:p>
        </w:tc>
        <w:tc>
          <w:tcPr>
            <w:tcW w:type="dxa" w:w="4139"/>
          </w:tcPr>
          <w:p>
            <w:pPr>
              <w:spacing w:before="0" w:after="20" w:line="245" w:lineRule="auto"/>
            </w:pPr>
            <w:r/>
            <w:r>
              <w:rPr>
                <w:rFonts w:ascii="Times New Roman" w:hAnsi="Times New Roman" w:eastAsia="宋体" w:cs="Times New Roman"/>
                <w:b w:val="0"/>
                <w:i w:val="0"/>
                <w:sz w:val="18"/>
              </w:rPr>
              <w:t>补充 t_end 取正无穷时按全地址空间解释、按窗口物化时按窗口投影裁剪</w:t>
            </w:r>
          </w:p>
        </w:tc>
        <w:tc>
          <w:tcPr>
            <w:tcW w:type="dxa" w:w="566"/>
          </w:tcPr>
          <w:p>
            <w:pPr>
              <w:spacing w:before="0" w:after="20" w:line="245" w:lineRule="auto"/>
            </w:pPr>
            <w:r/>
            <w:r>
              <w:rPr>
                <w:rFonts w:ascii="Times New Roman" w:hAnsi="Times New Roman" w:eastAsia="宋体" w:cs="Times New Roman"/>
                <w:b w:val="0"/>
                <w:i w:val="0"/>
                <w:sz w:val="18"/>
              </w:rPr>
              <w:t>中</w:t>
            </w:r>
          </w:p>
        </w:tc>
      </w:tr>
      <w:tr>
        <w:tc>
          <w:tcPr>
            <w:tcW w:type="dxa" w:w="2608"/>
            <w:shd w:val="clear" w:color="auto" w:fill="F2F4F6"/>
          </w:tcPr>
          <w:p>
            <w:pPr>
              <w:spacing w:before="0" w:after="20" w:line="245" w:lineRule="auto"/>
            </w:pPr>
            <w:r/>
            <w:r>
              <w:rPr>
                <w:rFonts w:ascii="Times New Roman" w:hAnsi="Times New Roman" w:eastAsia="宋体" w:cs="Times New Roman"/>
                <w:b/>
                <w:i w:val="0"/>
                <w:sz w:val="18"/>
              </w:rPr>
              <w:t>格网数据样例_明文与密态映射.json</w:t>
            </w:r>
          </w:p>
        </w:tc>
        <w:tc>
          <w:tcPr>
            <w:tcW w:type="dxa" w:w="1871"/>
            <w:shd w:val="clear" w:color="auto" w:fill="F2F4F6"/>
          </w:tcPr>
          <w:p>
            <w:pPr>
              <w:spacing w:before="0" w:after="20" w:line="245" w:lineRule="auto"/>
            </w:pPr>
            <w:r/>
            <w:r>
              <w:rPr>
                <w:rFonts w:ascii="Times New Roman" w:hAnsi="Times New Roman" w:eastAsia="宋体" w:cs="Times New Roman"/>
                <w:b w:val="0"/>
                <w:i w:val="0"/>
                <w:sz w:val="18"/>
              </w:rPr>
              <w:t>全文</w:t>
            </w:r>
          </w:p>
        </w:tc>
        <w:tc>
          <w:tcPr>
            <w:tcW w:type="dxa" w:w="4139"/>
            <w:shd w:val="clear" w:color="auto" w:fill="F2F4F6"/>
          </w:tcPr>
          <w:p>
            <w:pPr>
              <w:spacing w:before="0" w:after="20" w:line="245" w:lineRule="auto"/>
            </w:pPr>
            <w:r/>
            <w:r>
              <w:rPr>
                <w:rFonts w:ascii="Times New Roman" w:hAnsi="Times New Roman" w:eastAsia="宋体" w:cs="Times New Roman"/>
                <w:b w:val="0"/>
                <w:i w:val="0"/>
                <w:sz w:val="18"/>
              </w:rPr>
              <w:t>替换为随本文交付的 v5 修正版</w:t>
            </w:r>
          </w:p>
        </w:tc>
        <w:tc>
          <w:tcPr>
            <w:tcW w:type="dxa" w:w="566"/>
            <w:shd w:val="clear" w:color="auto" w:fill="F2F4F6"/>
          </w:tcPr>
          <w:p>
            <w:pPr>
              <w:spacing w:before="0" w:after="20" w:line="245" w:lineRule="auto"/>
            </w:pPr>
            <w:r/>
            <w:r>
              <w:rPr>
                <w:rFonts w:ascii="Times New Roman" w:hAnsi="Times New Roman" w:eastAsia="宋体" w:cs="Times New Roman"/>
                <w:b w:val="0"/>
                <w:i w:val="0"/>
                <w:color w:val="8A3324"/>
                <w:sz w:val="18"/>
              </w:rPr>
              <w:t>高</w:t>
            </w:r>
          </w:p>
        </w:tc>
      </w:tr>
      <w:tr>
        <w:tc>
          <w:tcPr>
            <w:tcW w:type="dxa" w:w="2608"/>
          </w:tcPr>
          <w:p>
            <w:pPr>
              <w:spacing w:before="0" w:after="20" w:line="245" w:lineRule="auto"/>
            </w:pPr>
            <w:r/>
            <w:r>
              <w:rPr>
                <w:rFonts w:ascii="Times New Roman" w:hAnsi="Times New Roman" w:eastAsia="宋体" w:cs="Times New Roman"/>
                <w:b/>
                <w:i w:val="0"/>
                <w:sz w:val="18"/>
              </w:rPr>
              <w:t>工作进展汇报 v5 系列与 v6</w:t>
            </w:r>
          </w:p>
        </w:tc>
        <w:tc>
          <w:tcPr>
            <w:tcW w:type="dxa" w:w="1871"/>
          </w:tcPr>
          <w:p>
            <w:pPr>
              <w:spacing w:before="0" w:after="20" w:line="245" w:lineRule="auto"/>
            </w:pPr>
            <w:r/>
            <w:r>
              <w:rPr>
                <w:rFonts w:ascii="Times New Roman" w:hAnsi="Times New Roman" w:eastAsia="宋体" w:cs="Times New Roman"/>
                <w:b w:val="0"/>
                <w:i w:val="0"/>
                <w:sz w:val="18"/>
              </w:rPr>
              <w:t>数据样例页（第 9 页）</w:t>
            </w:r>
          </w:p>
        </w:tc>
        <w:tc>
          <w:tcPr>
            <w:tcW w:type="dxa" w:w="4139"/>
          </w:tcPr>
          <w:p>
            <w:pPr>
              <w:spacing w:before="0" w:after="20" w:line="245" w:lineRule="auto"/>
            </w:pPr>
            <w:r/>
            <w:r>
              <w:rPr>
                <w:rFonts w:ascii="Times New Roman" w:hAnsi="Times New Roman" w:eastAsia="宋体" w:cs="Times New Roman"/>
                <w:b w:val="0"/>
                <w:i w:val="0"/>
                <w:sz w:val="18"/>
              </w:rPr>
              <w:t>时间节点表按锚点修正后重算；量化表中 A01 与 A04 的箱号加注对齐状态</w:t>
            </w:r>
          </w:p>
        </w:tc>
        <w:tc>
          <w:tcPr>
            <w:tcW w:type="dxa" w:w="566"/>
          </w:tcPr>
          <w:p>
            <w:pPr>
              <w:spacing w:before="0" w:after="20" w:line="245" w:lineRule="auto"/>
            </w:pPr>
            <w:r/>
            <w:r>
              <w:rPr>
                <w:rFonts w:ascii="Times New Roman" w:hAnsi="Times New Roman" w:eastAsia="宋体" w:cs="Times New Roman"/>
                <w:b w:val="0"/>
                <w:i w:val="0"/>
                <w:sz w:val="18"/>
              </w:rPr>
              <w:t>中</w:t>
            </w:r>
          </w:p>
        </w:tc>
      </w:tr>
    </w:tbl>
    <w:p>
      <w:pPr>
        <w:spacing w:before="0" w:after="80" w:line="259" w:lineRule="auto"/>
      </w:pPr>
      <w:r>
        <w:rPr>
          <w:rFonts w:ascii="Times New Roman" w:hAnsi="Times New Roman" w:eastAsia="宋体" w:cs="Times New Roman"/>
          <w:b w:val="0"/>
          <w:i w:val="0"/>
          <w:sz w:val="17"/>
        </w:rPr>
        <w:t>注：旧版本一律保留不覆盖。回改后的文件以新版本号另存，不做原地替换。</w:t>
      </w:r>
    </w:p>
    <w:p>
      <w:pPr>
        <w:keepNext/>
        <w:spacing w:before="180" w:after="80" w:line="252" w:lineRule="auto"/>
      </w:pPr>
      <w:r>
        <w:rPr>
          <w:rFonts w:ascii="Times New Roman" w:hAnsi="Times New Roman" w:eastAsia="宋体" w:cs="Times New Roman"/>
          <w:b/>
          <w:i w:val="0"/>
          <w:sz w:val="26"/>
        </w:rPr>
        <w:t>五　复算脚本与可复现性</w:t>
      </w:r>
    </w:p>
    <w:p>
      <w:pPr>
        <w:spacing w:before="0" w:after="80" w:line="259" w:lineRule="auto"/>
      </w:pPr>
      <w:r>
        <w:rPr>
          <w:rFonts w:ascii="Times New Roman" w:hAnsi="Times New Roman" w:eastAsia="宋体" w:cs="Times New Roman"/>
          <w:b w:val="0"/>
          <w:i w:val="0"/>
          <w:sz w:val="21"/>
        </w:rPr>
        <w:t>随本文交付三个复算脚本，均只依赖 Python 标准库，输出写在与脚本相同的目录，可在任何环境下重跑。口径复算脚本_一致性核对.py 做七组检查，依次是定长键位序与位宽、A02 值域、时间节点对齐、窗口常量表示、阈值箱边界、取整规则，以及一组通过项，并输出 findings 清单；口径复算脚本_时间原点反解.py 用穷举反解时间树锚点，给出使四项条件同时成立的偏移集合与唯一整点解；口径复算脚本_样始终检.py 校验修正版样例的每个时间节点是否对齐、规范分解是否与区间一致，并复核原点唯一性。</w:t>
      </w:r>
    </w:p>
    <w:p>
      <w:pPr>
        <w:spacing w:before="0" w:after="80" w:line="259" w:lineRule="auto"/>
      </w:pPr>
      <w:r>
        <w:rPr>
          <w:rFonts w:ascii="Times New Roman" w:hAnsi="Times New Roman" w:eastAsia="宋体" w:cs="Times New Roman"/>
          <w:b w:val="0"/>
          <w:i w:val="0"/>
          <w:sz w:val="21"/>
        </w:rPr>
        <w:t>需要提醒的是，本次复算覆盖的是数值与规则的一致性，不覆盖密码学层面的安全性论证。四量代价函数中系数 α、β、γ、δ 的取值仍待平台回填实测后确定，本文给出的密文条数与下降倍数都是在布局确定之后、代入具体系数之前的相对量。</w:t>
      </w:r>
    </w:p>
    <w:sectPr w:rsidR="00FC693F" w:rsidRPr="0006063C" w:rsidSect="00034616">
      <w:pgSz w:w="11906" w:h="16838"/>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三维格网接入层口径勘误与修正说明</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