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99CEA">
      <w:pPr>
        <w:pStyle w:val="31"/>
        <w:keepNext/>
        <w:spacing w:before="0" w:after="100" w:line="240" w:lineRule="auto"/>
      </w:pPr>
      <w:r>
        <w:rPr>
          <w:rFonts w:ascii="Times New Roman" w:hAnsi="Times New Roman" w:eastAsia="宋体" w:cs="Times New Roman"/>
          <w:b/>
          <w:i w:val="0"/>
          <w:color w:val="000000"/>
          <w:sz w:val="36"/>
        </w:rPr>
        <w:t>蚂蚁隐语 SPU 实现功能与开发进展解析</w:t>
      </w:r>
    </w:p>
    <w:p w14:paraId="4C4E8043">
      <w:pPr>
        <w:spacing w:before="0" w:after="140" w:line="259" w:lineRule="auto"/>
      </w:pPr>
      <w:r>
        <w:rPr>
          <w:rFonts w:ascii="Times New Roman" w:hAnsi="Times New Roman" w:eastAsia="宋体" w:cs="Times New Roman"/>
          <w:b w:val="0"/>
          <w:i w:val="0"/>
          <w:sz w:val="27"/>
        </w:rPr>
        <w:t>面向「三维格网数据统一接入隐私计算体系」的引擎侧对接评估</w:t>
      </w:r>
    </w:p>
    <w:p w14:paraId="6210E92F">
      <w:pPr>
        <w:spacing w:before="0" w:after="120" w:line="259" w:lineRule="auto"/>
      </w:pPr>
      <w:r>
        <w:rPr>
          <w:rFonts w:ascii="Times New Roman" w:hAnsi="Times New Roman" w:eastAsia="宋体" w:cs="Times New Roman"/>
          <w:b w:val="0"/>
          <w:i w:val="0"/>
          <w:sz w:val="21"/>
        </w:rPr>
        <w:t>本文解析 SecretFlow 体系中的 SPU（Secure Processing Unit，安全处理单元）这一组件的实现功能构成，并核查其截至目前的实际开发进展。信息来源为官方仓库 secretflow/spu 的公开内容，包括主分支当前版本标记、变更日志、源码目录结构、提交历史与发布记录，均为可直接复核的一手材料，不采用二手转述。</w:t>
      </w:r>
    </w:p>
    <w:p w14:paraId="029B94EF">
      <w:pPr>
        <w:spacing w:before="0" w:after="120" w:line="259" w:lineRule="auto"/>
      </w:pPr>
      <w:r>
        <w:rPr>
          <w:rFonts w:ascii="Times New Roman" w:hAnsi="Times New Roman" w:eastAsia="宋体" w:cs="Times New Roman"/>
          <w:b w:val="0"/>
          <w:i w:val="0"/>
          <w:sz w:val="21"/>
        </w:rPr>
        <w:t>结论先行。SPU 的定位是一台「可编程的安全计算设备」而非一个开箱即用的产品：它自己不等同于隐私计算方案，而是被 SecretFlow 框架调用、承担底层密态求值的那一层。其实现功能可拆为编译、运行通信、算子、协议、设备五层，其中协议层已覆盖 SEMI2K、ABY3、Cheetah、SPDZ2K、SecureNN、Ref2K 六个协议族，是最有复用价值的部分。开发进展方面需要如实指出的是一组反差：版本标记已推进到 0.10.0.dev20251211，但最近一次正式发布仍是 2025 年 9 月的 0.9.4，0.10.x 已在开发态停留约九个月未收敛；主分支最近一次实质性功能提交为 2026 年 4 月 22 日，距今约五个月，此后提交以依赖升级为主。这一节奏对我们的低空导航验证场景构成选型约束，详见第六节。</w:t>
      </w:r>
    </w:p>
    <w:p w14:paraId="7C7DA433">
      <w:pPr>
        <w:keepNext/>
        <w:spacing w:before="180" w:after="80" w:line="252" w:lineRule="auto"/>
      </w:pPr>
      <w:r>
        <w:rPr>
          <w:rFonts w:ascii="Times New Roman" w:hAnsi="Times New Roman" w:eastAsia="宋体" w:cs="Times New Roman"/>
          <w:b/>
          <w:i w:val="0"/>
          <w:sz w:val="26"/>
        </w:rPr>
        <w:t>一　组件定位：SPU 在隐语体系中的位置</w:t>
      </w:r>
    </w:p>
    <w:p w14:paraId="5A12F70B">
      <w:pPr>
        <w:spacing w:before="0" w:after="80" w:line="259" w:lineRule="auto"/>
      </w:pPr>
      <w:r>
        <w:rPr>
          <w:rFonts w:ascii="Times New Roman" w:hAnsi="Times New Roman" w:eastAsia="宋体" w:cs="Times New Roman"/>
          <w:b w:val="0"/>
          <w:i w:val="0"/>
          <w:sz w:val="21"/>
        </w:rPr>
        <w:t>官方对该组件的自我描述是：SPU 旨在成为一台「可证明、可度量」的安全计算设备，在保护隐私数据的前提下提供计算能力。同时明确了两条边界：其一，它被设计为可编程设备，本身不面向直接使用，正常用法是由 SecretFlow 框架把它当作底层密态计算设备来调用；其二，Python 包内附带的分布式模块只用于演示，官方明确警告不要用于生产环境。这两条边界决定了我们在对接时必须经由 SecretFlow 层进入，而不能把 SPU 当作独立服务部署。</w:t>
      </w:r>
    </w:p>
    <w:p w14:paraId="11C39D60">
      <w:pPr>
        <w:spacing w:before="0" w:after="80" w:line="259" w:lineRule="auto"/>
      </w:pPr>
      <w:r>
        <w:rPr>
          <w:rFonts w:ascii="Times New Roman" w:hAnsi="Times New Roman" w:eastAsia="宋体" w:cs="Times New Roman"/>
          <w:b w:val="0"/>
          <w:i w:val="0"/>
          <w:sz w:val="21"/>
        </w:rPr>
        <w:t>从工程实质看，SPU 做的事情是把「一套类 XLA 的张量运算语义」翻译成「多方安全计算协议上的交互执行」。这一定位与我们课题的分工原则高度契合。我们此前的口径是 FHE 承担公开参数与密态数据之间的线性部分，MPC 承担非线性判定与保密权重，而 SPU 恰好就是这一分工中 MPC 侧的候选执行引擎。换言之，本课题若要落地密态判定，SPU 是最直接需要评估的现成实现，而不必从零自研协议栈。</w:t>
      </w:r>
    </w:p>
    <w:p w14:paraId="71AE0B1F">
      <w:pPr>
        <w:spacing w:before="0" w:after="80" w:line="259" w:lineRule="auto"/>
      </w:pPr>
      <w:r>
        <w:rPr>
          <w:rFonts w:ascii="Times New Roman" w:hAnsi="Times New Roman" w:eastAsia="宋体" w:cs="Times New Roman"/>
          <w:b w:val="0"/>
          <w:i w:val="0"/>
          <w:sz w:val="21"/>
        </w:rPr>
        <w:t>技术栈构成可从仓库语言占比读出重心：C++ 占 85.4%、Python 占 7.1%、MLIR 占 7%、CUDA 占 0.2%。MLIR 占到这个比例说明编译器中间表示是其自研核心，而非简单封装既有框架；Python 部分主要是绑定与胶水层。仓库规模为 760 次提交、73 名贡献者、327 个星标、146 个复刻，许可证为 Apache-2.0，并由阿里巴巴双子实验室（Alibaba Gemini Lab）参与共建。</w:t>
      </w:r>
    </w:p>
    <w:p w14:paraId="4D26CCA1">
      <w:pPr>
        <w:keepNext/>
        <w:spacing w:before="180" w:after="80" w:line="252" w:lineRule="auto"/>
      </w:pPr>
      <w:r>
        <w:rPr>
          <w:rFonts w:ascii="Times New Roman" w:hAnsi="Times New Roman" w:eastAsia="宋体" w:cs="Times New Roman"/>
          <w:b/>
          <w:i w:val="0"/>
          <w:sz w:val="26"/>
        </w:rPr>
        <w:t>二　实现功能分层</w:t>
      </w:r>
    </w:p>
    <w:p w14:paraId="413404DE">
      <w:pPr>
        <w:spacing w:before="0" w:after="80" w:line="259" w:lineRule="auto"/>
      </w:pPr>
      <w:r>
        <w:rPr>
          <w:rFonts w:ascii="Times New Roman" w:hAnsi="Times New Roman" w:eastAsia="宋体" w:cs="Times New Roman"/>
          <w:b w:val="0"/>
          <w:i w:val="0"/>
          <w:sz w:val="21"/>
        </w:rPr>
        <w:t>源码主体位于 src/libspu 之下，其一级目录本身即是一张功能结构图：compiler、core、cuda_support、device、dialect、kernel、mpc 七个模块。下面按自顶向下的顺序逐层说明其承担的功能。</w:t>
      </w:r>
    </w:p>
    <w:p w14:paraId="3C9EBB3E">
      <w:pPr>
        <w:keepNext/>
        <w:spacing w:before="120" w:after="60" w:line="254" w:lineRule="auto"/>
      </w:pPr>
      <w:r>
        <w:rPr>
          <w:rFonts w:ascii="Times New Roman" w:hAnsi="Times New Roman" w:eastAsia="宋体" w:cs="Times New Roman"/>
          <w:b/>
          <w:i w:val="0"/>
          <w:sz w:val="23"/>
        </w:rPr>
        <w:t>2.1　编译层：dialect 与 compiler</w:t>
      </w:r>
    </w:p>
    <w:p w14:paraId="0628101F">
      <w:pPr>
        <w:spacing w:before="0" w:after="80" w:line="259" w:lineRule="auto"/>
      </w:pPr>
      <w:r>
        <w:rPr>
          <w:rFonts w:ascii="Times New Roman" w:hAnsi="Times New Roman" w:eastAsia="宋体" w:cs="Times New Roman"/>
          <w:b w:val="0"/>
          <w:i w:val="0"/>
          <w:sz w:val="21"/>
        </w:rPr>
        <w:t>dialect 模块承载自研的 MLIR 方言，compiler 模块负责把上层张量运算图编译为可在协议上执行的密态程序。由于 SPU 对外呈现的是类 XLA 的算子语义，这一层的关键职责是做算子到协议的适配与降级：哪些算子可以分解为协议已有的原语、哪些需要引入近似算法（如对数、指数、三角函数的定点近似）、哪些必须退化为交互式协议子流程。这一层是 SPU 与普通计算框架的真正分界线，也是其技术门槛所在。</w:t>
      </w:r>
    </w:p>
    <w:p w14:paraId="4EA1E629">
      <w:pPr>
        <w:spacing w:before="0" w:after="80" w:line="259" w:lineRule="auto"/>
      </w:pPr>
      <w:r>
        <w:rPr>
          <w:rFonts w:ascii="Times New Roman" w:hAnsi="Times New Roman" w:eastAsia="宋体" w:cs="Times New Roman"/>
          <w:b w:val="0"/>
          <w:i w:val="0"/>
          <w:sz w:val="21"/>
        </w:rPr>
        <w:t>对我们有直接意义的一点是，编译层支持编译选项与编译缓存。变更日志中多次出现编译缓存冲突的修复记录，说明该机制已在工程上被实际使用。对我们的低空导航验证而言，格网编码与判定逻辑一旦固定，编译产物可复用，这能显著压低重复验证的时间成本。</w:t>
      </w:r>
    </w:p>
    <w:p w14:paraId="66852E81">
      <w:pPr>
        <w:keepNext/>
        <w:spacing w:before="120" w:after="60" w:line="254" w:lineRule="auto"/>
      </w:pPr>
      <w:r>
        <w:rPr>
          <w:rFonts w:ascii="Times New Roman" w:hAnsi="Times New Roman" w:eastAsia="宋体" w:cs="Times New Roman"/>
          <w:b/>
          <w:i w:val="0"/>
          <w:sz w:val="23"/>
        </w:rPr>
        <w:t>2.2　运行与通信层：core 与 device</w:t>
      </w:r>
    </w:p>
    <w:p w14:paraId="0A2A0933">
      <w:pPr>
        <w:spacing w:before="0" w:after="80" w:line="259" w:lineRule="auto"/>
      </w:pPr>
      <w:r>
        <w:rPr>
          <w:rFonts w:ascii="Times New Roman" w:hAnsi="Times New Roman" w:eastAsia="宋体" w:cs="Times New Roman"/>
          <w:b w:val="0"/>
          <w:i w:val="0"/>
          <w:sz w:val="21"/>
        </w:rPr>
        <w:t>core 模块提供密态运行时，负责张量在多方之间的分片表示、协议状态管理与执行调度。device 模块定义设备抽象，使 SPU 能以「设备」的身份被上层框架注册与调用。通信方面，仓库在 2025 年 12 月新增了 IChannel 的 Python 绑定，把通信通道显式暴露为可替换接口，这对我们做自建部署与网络环境适配是有利变化。此外历史变更中持续出现发送接收动作的性能采样增强，说明多方通信开销一直是其优化重点。</w:t>
      </w:r>
    </w:p>
    <w:p w14:paraId="22D5F374">
      <w:pPr>
        <w:spacing w:before="0" w:after="80" w:line="259" w:lineRule="auto"/>
      </w:pPr>
      <w:r>
        <w:rPr>
          <w:rFonts w:ascii="Times New Roman" w:hAnsi="Times New Roman" w:eastAsia="宋体" w:cs="Times New Roman"/>
          <w:b w:val="0"/>
          <w:i w:val="0"/>
          <w:sz w:val="21"/>
        </w:rPr>
        <w:t>需要特别记录的是 TTP（可信第三方）相关能力。0.9.4 版本为 TTP 服务端增加了 SSL 配置支持，更早的 0.3.2 版本则为 SEMI2K 增加了 TTP 形式的 Beaver 三元组提供者。这意味着在需要预生成乘法三元组的协议上，SPU 支持引入一个仅做随机数分发、不接触真实数据的第三方。对于两方参与的密态判定场景，这条路径往往比纯双方协议在性能上更可控。</w:t>
      </w:r>
    </w:p>
    <w:p w14:paraId="0A28FF98">
      <w:pPr>
        <w:keepNext/>
        <w:spacing w:before="120" w:after="60" w:line="254" w:lineRule="auto"/>
      </w:pPr>
      <w:r>
        <w:rPr>
          <w:rFonts w:ascii="Times New Roman" w:hAnsi="Times New Roman" w:eastAsia="宋体" w:cs="Times New Roman"/>
          <w:b/>
          <w:i w:val="0"/>
          <w:sz w:val="23"/>
        </w:rPr>
        <w:t>2.3　算子层：kernel</w:t>
      </w:r>
    </w:p>
    <w:p w14:paraId="517493AA">
      <w:pPr>
        <w:spacing w:before="0" w:after="80" w:line="259" w:lineRule="auto"/>
      </w:pPr>
      <w:r>
        <w:rPr>
          <w:rFonts w:ascii="Times New Roman" w:hAnsi="Times New Roman" w:eastAsia="宋体" w:cs="Times New Roman"/>
          <w:b w:val="0"/>
          <w:i w:val="0"/>
          <w:sz w:val="21"/>
        </w:rPr>
        <w:t>kernel 模块实现具体算子。从变更日志可还原出一条清晰的算子扩充轨迹，其中多项与我们的格网运算直接相关。</w:t>
      </w:r>
    </w:p>
    <w:p w14:paraId="33C31573">
      <w:pPr>
        <w:keepNext/>
        <w:spacing w:before="100" w:after="40" w:line="252" w:lineRule="auto"/>
      </w:pPr>
      <w:r>
        <w:rPr>
          <w:rFonts w:ascii="Times New Roman" w:hAnsi="Times New Roman" w:eastAsia="宋体" w:cs="Times New Roman"/>
          <w:b/>
          <w:i w:val="0"/>
          <w:sz w:val="19"/>
        </w:rPr>
        <w:t>表 1　SPU 算子层关键能力及其变更来源</w:t>
      </w:r>
    </w:p>
    <w:tbl>
      <w:tblPr>
        <w:tblStyle w:val="33"/>
        <w:tblW w:w="91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20" w:type="dxa"/>
          <w:bottom w:w="28" w:type="dxa"/>
          <w:right w:w="120" w:type="dxa"/>
        </w:tblCellMar>
      </w:tblPr>
      <w:tblGrid>
        <w:gridCol w:w="1800"/>
        <w:gridCol w:w="3200"/>
        <w:gridCol w:w="4184"/>
      </w:tblGrid>
      <w:tr w14:paraId="4F095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tblHeader/>
          <w:jc w:val="center"/>
        </w:trPr>
        <w:tc>
          <w:tcPr>
            <w:tcW w:w="1800" w:type="dxa"/>
            <w:shd w:val="clear" w:color="auto" w:fill="2F4858"/>
          </w:tcPr>
          <w:p w14:paraId="034B3013">
            <w:pPr>
              <w:spacing w:before="0" w:after="20" w:line="245" w:lineRule="auto"/>
            </w:pPr>
            <w:r>
              <w:rPr>
                <w:rFonts w:ascii="Times New Roman" w:hAnsi="Times New Roman" w:eastAsia="宋体" w:cs="Times New Roman"/>
                <w:b/>
                <w:i w:val="0"/>
                <w:color w:val="FFFFFF"/>
                <w:sz w:val="18"/>
              </w:rPr>
              <w:t>算子能力</w:t>
            </w:r>
          </w:p>
        </w:tc>
        <w:tc>
          <w:tcPr>
            <w:tcW w:w="3200" w:type="dxa"/>
            <w:shd w:val="clear" w:color="auto" w:fill="2F4858"/>
          </w:tcPr>
          <w:p w14:paraId="1B681F22">
            <w:pPr>
              <w:spacing w:before="0" w:after="20" w:line="245" w:lineRule="auto"/>
            </w:pPr>
            <w:r>
              <w:rPr>
                <w:rFonts w:ascii="Times New Roman" w:hAnsi="Times New Roman" w:eastAsia="宋体" w:cs="Times New Roman"/>
                <w:b/>
                <w:i w:val="0"/>
                <w:color w:val="FFFFFF"/>
                <w:sz w:val="18"/>
              </w:rPr>
              <w:t>引入记录</w:t>
            </w:r>
          </w:p>
        </w:tc>
        <w:tc>
          <w:tcPr>
            <w:tcW w:w="4184" w:type="dxa"/>
            <w:shd w:val="clear" w:color="auto" w:fill="2F4858"/>
          </w:tcPr>
          <w:p w14:paraId="62A218C2">
            <w:pPr>
              <w:spacing w:before="0" w:after="20" w:line="245" w:lineRule="auto"/>
            </w:pPr>
            <w:r>
              <w:rPr>
                <w:rFonts w:ascii="Times New Roman" w:hAnsi="Times New Roman" w:eastAsia="宋体" w:cs="Times New Roman"/>
                <w:b/>
                <w:i w:val="0"/>
                <w:color w:val="FFFFFF"/>
                <w:sz w:val="18"/>
              </w:rPr>
              <w:t>功能含义</w:t>
            </w:r>
          </w:p>
        </w:tc>
      </w:tr>
      <w:tr w14:paraId="54F3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800" w:type="dxa"/>
          </w:tcPr>
          <w:p w14:paraId="01D723BD">
            <w:pPr>
              <w:spacing w:before="0" w:after="20" w:line="245" w:lineRule="auto"/>
            </w:pPr>
            <w:r>
              <w:rPr>
                <w:rFonts w:ascii="Times New Roman" w:hAnsi="Times New Roman" w:eastAsia="宋体" w:cs="Times New Roman"/>
                <w:b/>
                <w:i w:val="0"/>
                <w:sz w:val="18"/>
              </w:rPr>
              <w:t>等值判定</w:t>
            </w:r>
          </w:p>
        </w:tc>
        <w:tc>
          <w:tcPr>
            <w:tcW w:w="3200" w:type="dxa"/>
          </w:tcPr>
          <w:p w14:paraId="541FBEA7">
            <w:pPr>
              <w:spacing w:before="0" w:after="20" w:line="245" w:lineRule="auto"/>
            </w:pPr>
            <w:r>
              <w:rPr>
                <w:rFonts w:ascii="Times New Roman" w:hAnsi="Times New Roman" w:eastAsia="宋体" w:cs="Times New Roman"/>
                <w:b w:val="0"/>
                <w:i w:val="0"/>
                <w:sz w:val="18"/>
              </w:rPr>
              <w:t>2024-01-05</w:t>
            </w:r>
          </w:p>
          <w:p w14:paraId="7B35338D">
            <w:pPr>
              <w:spacing w:before="0" w:after="20" w:line="245" w:lineRule="auto"/>
            </w:pPr>
            <w:r>
              <w:rPr>
                <w:rFonts w:ascii="Times New Roman" w:hAnsi="Times New Roman" w:eastAsia="宋体" w:cs="Times New Roman"/>
                <w:b w:val="0"/>
                <w:i w:val="0"/>
                <w:color w:val="555555"/>
                <w:sz w:val="17"/>
              </w:rPr>
              <w:t>SEMI2K 与 ABY3 均新增 equal 支持</w:t>
            </w:r>
          </w:p>
        </w:tc>
        <w:tc>
          <w:tcPr>
            <w:tcW w:w="4184" w:type="dxa"/>
          </w:tcPr>
          <w:p w14:paraId="4E718659">
            <w:pPr>
              <w:spacing w:before="0" w:after="20" w:line="245" w:lineRule="auto"/>
            </w:pPr>
            <w:r>
              <w:rPr>
                <w:rFonts w:ascii="Times New Roman" w:hAnsi="Times New Roman" w:eastAsia="宋体" w:cs="Times New Roman"/>
                <w:b w:val="0"/>
                <w:i w:val="0"/>
                <w:sz w:val="18"/>
              </w:rPr>
              <w:t>密态相等比较，是格网编码匹配的基础原语</w:t>
            </w:r>
          </w:p>
        </w:tc>
      </w:tr>
      <w:tr w14:paraId="1505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800" w:type="dxa"/>
            <w:shd w:val="clear" w:color="auto" w:fill="F2F4F6"/>
          </w:tcPr>
          <w:p w14:paraId="43922505">
            <w:pPr>
              <w:spacing w:before="0" w:after="20" w:line="245" w:lineRule="auto"/>
            </w:pPr>
            <w:r>
              <w:rPr>
                <w:rFonts w:ascii="Times New Roman" w:hAnsi="Times New Roman" w:eastAsia="宋体" w:cs="Times New Roman"/>
                <w:b/>
                <w:i w:val="0"/>
                <w:sz w:val="18"/>
              </w:rPr>
              <w:t>位计数</w:t>
            </w:r>
          </w:p>
        </w:tc>
        <w:tc>
          <w:tcPr>
            <w:tcW w:w="3200" w:type="dxa"/>
            <w:shd w:val="clear" w:color="auto" w:fill="F2F4F6"/>
          </w:tcPr>
          <w:p w14:paraId="2E471F9B">
            <w:pPr>
              <w:spacing w:before="0" w:after="20" w:line="245" w:lineRule="auto"/>
            </w:pPr>
            <w:r>
              <w:rPr>
                <w:rFonts w:ascii="Times New Roman" w:hAnsi="Times New Roman" w:eastAsia="宋体" w:cs="Times New Roman"/>
                <w:b w:val="0"/>
                <w:i w:val="0"/>
                <w:sz w:val="18"/>
              </w:rPr>
              <w:t>2024-07-16</w:t>
            </w:r>
          </w:p>
          <w:p w14:paraId="27FA997B">
            <w:pPr>
              <w:spacing w:before="0" w:after="20" w:line="245" w:lineRule="auto"/>
            </w:pPr>
            <w:r>
              <w:rPr>
                <w:rFonts w:ascii="Times New Roman" w:hAnsi="Times New Roman" w:eastAsia="宋体" w:cs="Times New Roman"/>
                <w:b w:val="0"/>
                <w:i w:val="0"/>
                <w:color w:val="555555"/>
                <w:sz w:val="17"/>
              </w:rPr>
              <w:t>支持 jax.numpy.bitwise_count</w:t>
            </w:r>
          </w:p>
        </w:tc>
        <w:tc>
          <w:tcPr>
            <w:tcW w:w="4184" w:type="dxa"/>
            <w:shd w:val="clear" w:color="auto" w:fill="F2F4F6"/>
          </w:tcPr>
          <w:p w14:paraId="65FF47B9">
            <w:pPr>
              <w:spacing w:before="0" w:after="20" w:line="245" w:lineRule="auto"/>
            </w:pPr>
            <w:r>
              <w:rPr>
                <w:rFonts w:ascii="Times New Roman" w:hAnsi="Times New Roman" w:eastAsia="宋体" w:cs="Times New Roman"/>
                <w:b w:val="0"/>
                <w:i w:val="0"/>
                <w:sz w:val="18"/>
              </w:rPr>
              <w:t>密态按位统计，可直接用于 rel_bitset 的密态位集计数</w:t>
            </w:r>
          </w:p>
        </w:tc>
      </w:tr>
      <w:tr w14:paraId="1188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800" w:type="dxa"/>
          </w:tcPr>
          <w:p w14:paraId="13B81655">
            <w:pPr>
              <w:spacing w:before="0" w:after="20" w:line="245" w:lineRule="auto"/>
            </w:pPr>
            <w:r>
              <w:rPr>
                <w:rFonts w:ascii="Times New Roman" w:hAnsi="Times New Roman" w:eastAsia="宋体" w:cs="Times New Roman"/>
                <w:b/>
                <w:i w:val="0"/>
                <w:sz w:val="18"/>
              </w:rPr>
              <w:t>排序</w:t>
            </w:r>
          </w:p>
        </w:tc>
        <w:tc>
          <w:tcPr>
            <w:tcW w:w="3200" w:type="dxa"/>
          </w:tcPr>
          <w:p w14:paraId="2D1C4E56">
            <w:pPr>
              <w:spacing w:before="0" w:after="20" w:line="245" w:lineRule="auto"/>
            </w:pPr>
            <w:r>
              <w:rPr>
                <w:rFonts w:ascii="Times New Roman" w:hAnsi="Times New Roman" w:eastAsia="宋体" w:cs="Times New Roman"/>
                <w:b w:val="0"/>
                <w:i w:val="0"/>
                <w:sz w:val="18"/>
              </w:rPr>
              <w:t>2024-01-05 引入奇偶归并排序替代双调排序</w:t>
            </w:r>
          </w:p>
          <w:p w14:paraId="240D1735">
            <w:pPr>
              <w:spacing w:before="0" w:after="20" w:line="245" w:lineRule="auto"/>
            </w:pPr>
            <w:r>
              <w:rPr>
                <w:rFonts w:ascii="Times New Roman" w:hAnsi="Times New Roman" w:eastAsia="宋体" w:cs="Times New Roman"/>
                <w:b w:val="0"/>
                <w:i w:val="0"/>
                <w:color w:val="555555"/>
                <w:sz w:val="17"/>
              </w:rPr>
              <w:t>同期为 ABY3 增加基数排序，SEMI2K 于 2023-11 先行</w:t>
            </w:r>
          </w:p>
          <w:p w14:paraId="3DD917E3">
            <w:pPr>
              <w:spacing w:before="0" w:after="20" w:line="245" w:lineRule="auto"/>
            </w:pPr>
            <w:r>
              <w:rPr>
                <w:rFonts w:ascii="Times New Roman" w:hAnsi="Times New Roman" w:eastAsia="宋体" w:cs="Times New Roman"/>
                <w:b w:val="0"/>
                <w:i w:val="0"/>
                <w:color w:val="555555"/>
                <w:sz w:val="17"/>
              </w:rPr>
              <w:t>0.9.4 为 semi2k 与 aby3 增加快速排序</w:t>
            </w:r>
          </w:p>
        </w:tc>
        <w:tc>
          <w:tcPr>
            <w:tcW w:w="4184" w:type="dxa"/>
          </w:tcPr>
          <w:p w14:paraId="2A778814">
            <w:pPr>
              <w:spacing w:before="0" w:after="20" w:line="245" w:lineRule="auto"/>
            </w:pPr>
            <w:r>
              <w:rPr>
                <w:rFonts w:ascii="Times New Roman" w:hAnsi="Times New Roman" w:eastAsia="宋体" w:cs="Times New Roman"/>
                <w:b w:val="0"/>
                <w:i w:val="0"/>
                <w:sz w:val="18"/>
              </w:rPr>
              <w:t>密态排序，对应按格网编码归并或选前 N 项</w:t>
            </w:r>
          </w:p>
        </w:tc>
      </w:tr>
      <w:tr w14:paraId="3B35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800" w:type="dxa"/>
            <w:shd w:val="clear" w:color="auto" w:fill="F2F4F6"/>
          </w:tcPr>
          <w:p w14:paraId="475ABCBF">
            <w:pPr>
              <w:spacing w:before="0" w:after="20" w:line="245" w:lineRule="auto"/>
            </w:pPr>
            <w:r>
              <w:rPr>
                <w:rFonts w:ascii="Times New Roman" w:hAnsi="Times New Roman" w:eastAsia="宋体" w:cs="Times New Roman"/>
                <w:b/>
                <w:i w:val="0"/>
                <w:sz w:val="18"/>
              </w:rPr>
              <w:t>动态切片</w:t>
            </w:r>
          </w:p>
        </w:tc>
        <w:tc>
          <w:tcPr>
            <w:tcW w:w="3200" w:type="dxa"/>
            <w:shd w:val="clear" w:color="auto" w:fill="F2F4F6"/>
          </w:tcPr>
          <w:p w14:paraId="41DFD96B">
            <w:pPr>
              <w:spacing w:before="0" w:after="20" w:line="245" w:lineRule="auto"/>
            </w:pPr>
            <w:r>
              <w:rPr>
                <w:rFonts w:ascii="Times New Roman" w:hAnsi="Times New Roman" w:eastAsia="宋体" w:cs="Times New Roman"/>
                <w:b w:val="0"/>
                <w:i w:val="0"/>
                <w:sz w:val="18"/>
              </w:rPr>
              <w:t>2024-06-21</w:t>
            </w:r>
          </w:p>
          <w:p w14:paraId="6D1DDA0D">
            <w:pPr>
              <w:spacing w:before="0" w:after="20" w:line="245" w:lineRule="auto"/>
            </w:pPr>
            <w:r>
              <w:rPr>
                <w:rFonts w:ascii="Times New Roman" w:hAnsi="Times New Roman" w:eastAsia="宋体" w:cs="Times New Roman"/>
                <w:b w:val="0"/>
                <w:i w:val="0"/>
                <w:color w:val="555555"/>
                <w:sz w:val="17"/>
              </w:rPr>
              <w:t>为 ABY3 增加基于 ORAM 的 dynamic_slice</w:t>
            </w:r>
          </w:p>
        </w:tc>
        <w:tc>
          <w:tcPr>
            <w:tcW w:w="4184" w:type="dxa"/>
            <w:shd w:val="clear" w:color="auto" w:fill="F2F4F6"/>
          </w:tcPr>
          <w:p w14:paraId="6AFD5517">
            <w:pPr>
              <w:spacing w:before="0" w:after="20" w:line="245" w:lineRule="auto"/>
            </w:pPr>
            <w:r>
              <w:rPr>
                <w:rFonts w:ascii="Times New Roman" w:hAnsi="Times New Roman" w:eastAsia="宋体" w:cs="Times New Roman"/>
                <w:b w:val="0"/>
                <w:i w:val="0"/>
                <w:sz w:val="18"/>
              </w:rPr>
              <w:t>在隐藏下标的前提下取子集，对应段列表的选择性访问</w:t>
            </w:r>
          </w:p>
        </w:tc>
      </w:tr>
      <w:tr w14:paraId="5F2C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800" w:type="dxa"/>
          </w:tcPr>
          <w:p w14:paraId="7D704EC3">
            <w:pPr>
              <w:spacing w:before="0" w:after="20" w:line="245" w:lineRule="auto"/>
            </w:pPr>
            <w:r>
              <w:rPr>
                <w:rFonts w:ascii="Times New Roman" w:hAnsi="Times New Roman" w:eastAsia="宋体" w:cs="Times New Roman"/>
                <w:b/>
                <w:i w:val="0"/>
                <w:sz w:val="18"/>
              </w:rPr>
              <w:t>分组聚合</w:t>
            </w:r>
          </w:p>
        </w:tc>
        <w:tc>
          <w:tcPr>
            <w:tcW w:w="3200" w:type="dxa"/>
          </w:tcPr>
          <w:p w14:paraId="2530864B">
            <w:pPr>
              <w:spacing w:before="0" w:after="20" w:line="245" w:lineRule="auto"/>
            </w:pPr>
            <w:r>
              <w:rPr>
                <w:rFonts w:ascii="Times New Roman" w:hAnsi="Times New Roman" w:eastAsia="宋体" w:cs="Times New Roman"/>
                <w:b w:val="0"/>
                <w:i w:val="0"/>
                <w:sz w:val="18"/>
              </w:rPr>
              <w:t>2025-12-08</w:t>
            </w:r>
          </w:p>
          <w:p w14:paraId="21B0EE0F">
            <w:pPr>
              <w:spacing w:before="0" w:after="20" w:line="245" w:lineRule="auto"/>
            </w:pPr>
            <w:r>
              <w:rPr>
                <w:rFonts w:ascii="Times New Roman" w:hAnsi="Times New Roman" w:eastAsia="宋体" w:cs="Times New Roman"/>
                <w:b w:val="0"/>
                <w:i w:val="0"/>
                <w:color w:val="555555"/>
                <w:sz w:val="17"/>
              </w:rPr>
              <w:t>HLO 层新增 GroupByAgg 算子</w:t>
            </w:r>
          </w:p>
          <w:p w14:paraId="6A4319C8">
            <w:pPr>
              <w:spacing w:before="0" w:after="20" w:line="245" w:lineRule="auto"/>
            </w:pPr>
            <w:r>
              <w:rPr>
                <w:rFonts w:ascii="Times New Roman" w:hAnsi="Times New Roman" w:eastAsia="宋体" w:cs="Times New Roman"/>
                <w:b w:val="0"/>
                <w:i w:val="0"/>
                <w:color w:val="555555"/>
                <w:sz w:val="17"/>
              </w:rPr>
              <w:t>2025-12-19 优化保密分组求和并实现保密分组求平均</w:t>
            </w:r>
          </w:p>
        </w:tc>
        <w:tc>
          <w:tcPr>
            <w:tcW w:w="4184" w:type="dxa"/>
          </w:tcPr>
          <w:p w14:paraId="4E8A0B90">
            <w:pPr>
              <w:spacing w:before="0" w:after="20" w:line="245" w:lineRule="auto"/>
            </w:pPr>
            <w:r>
              <w:rPr>
                <w:rFonts w:ascii="Times New Roman" w:hAnsi="Times New Roman" w:eastAsia="宋体" w:cs="Times New Roman"/>
                <w:b w:val="0"/>
                <w:i w:val="0"/>
                <w:sz w:val="18"/>
              </w:rPr>
              <w:t>按格网聚合并输出统计量，是最贴近业务形态的算子</w:t>
            </w:r>
          </w:p>
        </w:tc>
      </w:tr>
      <w:tr w14:paraId="6F3D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800" w:type="dxa"/>
            <w:shd w:val="clear" w:color="auto" w:fill="F2F4F6"/>
          </w:tcPr>
          <w:p w14:paraId="61CA820D">
            <w:pPr>
              <w:spacing w:before="0" w:after="20" w:line="245" w:lineRule="auto"/>
            </w:pPr>
            <w:r>
              <w:rPr>
                <w:rFonts w:ascii="Times New Roman" w:hAnsi="Times New Roman" w:eastAsia="宋体" w:cs="Times New Roman"/>
                <w:b/>
                <w:i w:val="0"/>
                <w:sz w:val="18"/>
              </w:rPr>
              <w:t>置换</w:t>
            </w:r>
          </w:p>
        </w:tc>
        <w:tc>
          <w:tcPr>
            <w:tcW w:w="3200" w:type="dxa"/>
            <w:shd w:val="clear" w:color="auto" w:fill="F2F4F6"/>
          </w:tcPr>
          <w:p w14:paraId="72F7553B">
            <w:pPr>
              <w:spacing w:before="0" w:after="20" w:line="245" w:lineRule="auto"/>
            </w:pPr>
            <w:r>
              <w:rPr>
                <w:rFonts w:ascii="Times New Roman" w:hAnsi="Times New Roman" w:eastAsia="宋体" w:cs="Times New Roman"/>
                <w:b w:val="0"/>
                <w:i w:val="0"/>
                <w:sz w:val="18"/>
              </w:rPr>
              <w:t>0.9.4</w:t>
            </w:r>
          </w:p>
          <w:p w14:paraId="4BD25301">
            <w:pPr>
              <w:spacing w:before="0" w:after="20" w:line="245" w:lineRule="auto"/>
            </w:pPr>
            <w:r>
              <w:rPr>
                <w:rFonts w:ascii="Times New Roman" w:hAnsi="Times New Roman" w:eastAsia="宋体" w:cs="Times New Roman"/>
                <w:b w:val="0"/>
                <w:i w:val="0"/>
                <w:color w:val="555555"/>
                <w:sz w:val="17"/>
              </w:rPr>
              <w:t>HLO 层新增 Permute 与 InvPermute</w:t>
            </w:r>
          </w:p>
        </w:tc>
        <w:tc>
          <w:tcPr>
            <w:tcW w:w="4184" w:type="dxa"/>
            <w:shd w:val="clear" w:color="auto" w:fill="F2F4F6"/>
          </w:tcPr>
          <w:p w14:paraId="27BF74FA">
            <w:pPr>
              <w:spacing w:before="0" w:after="20" w:line="245" w:lineRule="auto"/>
            </w:pPr>
            <w:r>
              <w:rPr>
                <w:rFonts w:ascii="Times New Roman" w:hAnsi="Times New Roman" w:eastAsia="宋体" w:cs="Times New Roman"/>
                <w:b w:val="0"/>
                <w:i w:val="0"/>
                <w:sz w:val="18"/>
              </w:rPr>
              <w:t>密态置换与逆置换，可用于打乱或复原格网次序</w:t>
            </w:r>
          </w:p>
        </w:tc>
      </w:tr>
      <w:tr w14:paraId="583D9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800" w:type="dxa"/>
          </w:tcPr>
          <w:p w14:paraId="17D99F1E">
            <w:pPr>
              <w:spacing w:before="0" w:after="20" w:line="245" w:lineRule="auto"/>
            </w:pPr>
            <w:r>
              <w:rPr>
                <w:rFonts w:ascii="Times New Roman" w:hAnsi="Times New Roman" w:eastAsia="宋体" w:cs="Times New Roman"/>
                <w:b/>
                <w:i w:val="0"/>
                <w:sz w:val="18"/>
              </w:rPr>
              <w:t>数学函数</w:t>
            </w:r>
          </w:p>
        </w:tc>
        <w:tc>
          <w:tcPr>
            <w:tcW w:w="3200" w:type="dxa"/>
          </w:tcPr>
          <w:p w14:paraId="7146CA80">
            <w:pPr>
              <w:spacing w:before="0" w:after="20" w:line="245" w:lineRule="auto"/>
            </w:pPr>
            <w:r>
              <w:rPr>
                <w:rFonts w:ascii="Times New Roman" w:hAnsi="Times New Roman" w:eastAsia="宋体" w:cs="Times New Roman"/>
                <w:b w:val="0"/>
                <w:i w:val="0"/>
                <w:sz w:val="18"/>
              </w:rPr>
              <w:t>0.9.4 为 SEMI2K 增加 soPRF（LowMC 分组密码）</w:t>
            </w:r>
          </w:p>
          <w:p w14:paraId="0AEF4C13">
            <w:pPr>
              <w:spacing w:before="0" w:after="20" w:line="245" w:lineRule="auto"/>
            </w:pPr>
            <w:r>
              <w:rPr>
                <w:rFonts w:ascii="Times New Roman" w:hAnsi="Times New Roman" w:eastAsia="宋体" w:cs="Times New Roman"/>
                <w:b w:val="0"/>
                <w:i w:val="0"/>
                <w:color w:val="555555"/>
                <w:sz w:val="17"/>
              </w:rPr>
              <w:t>2024-04 对数改用 minimax 近似</w:t>
            </w:r>
          </w:p>
          <w:p w14:paraId="44C4EFE9">
            <w:pPr>
              <w:spacing w:before="0" w:after="20" w:line="245" w:lineRule="auto"/>
            </w:pPr>
            <w:r>
              <w:rPr>
                <w:rFonts w:ascii="Times New Roman" w:hAnsi="Times New Roman" w:eastAsia="宋体" w:cs="Times New Roman"/>
                <w:b w:val="0"/>
                <w:i w:val="0"/>
                <w:color w:val="555555"/>
                <w:sz w:val="17"/>
              </w:rPr>
              <w:t>2023-09 支持正弦余弦</w:t>
            </w:r>
          </w:p>
        </w:tc>
        <w:tc>
          <w:tcPr>
            <w:tcW w:w="4184" w:type="dxa"/>
          </w:tcPr>
          <w:p w14:paraId="4F0DF385">
            <w:pPr>
              <w:spacing w:before="0" w:after="20" w:line="245" w:lineRule="auto"/>
            </w:pPr>
            <w:r>
              <w:rPr>
                <w:rFonts w:ascii="Times New Roman" w:hAnsi="Times New Roman" w:eastAsia="宋体" w:cs="Times New Roman"/>
                <w:b w:val="0"/>
                <w:i w:val="0"/>
                <w:sz w:val="18"/>
              </w:rPr>
              <w:t>非线性函数的密态求值，供判定与打分使用</w:t>
            </w:r>
          </w:p>
        </w:tc>
      </w:tr>
      <w:tr w14:paraId="2220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800" w:type="dxa"/>
            <w:shd w:val="clear" w:color="auto" w:fill="F2F4F6"/>
          </w:tcPr>
          <w:p w14:paraId="78CE690B">
            <w:pPr>
              <w:spacing w:before="0" w:after="20" w:line="245" w:lineRule="auto"/>
            </w:pPr>
            <w:r>
              <w:rPr>
                <w:rFonts w:ascii="Times New Roman" w:hAnsi="Times New Roman" w:eastAsia="宋体" w:cs="Times New Roman"/>
                <w:b/>
                <w:i w:val="0"/>
                <w:sz w:val="18"/>
              </w:rPr>
              <w:t>取整语义</w:t>
            </w:r>
          </w:p>
        </w:tc>
        <w:tc>
          <w:tcPr>
            <w:tcW w:w="3200" w:type="dxa"/>
            <w:shd w:val="clear" w:color="auto" w:fill="F2F4F6"/>
          </w:tcPr>
          <w:p w14:paraId="742F605C">
            <w:pPr>
              <w:spacing w:before="0" w:after="20" w:line="245" w:lineRule="auto"/>
            </w:pPr>
            <w:r>
              <w:rPr>
                <w:rFonts w:ascii="Times New Roman" w:hAnsi="Times New Roman" w:eastAsia="宋体" w:cs="Times New Roman"/>
                <w:b w:val="0"/>
                <w:i w:val="0"/>
                <w:sz w:val="18"/>
              </w:rPr>
              <w:t>2024-04-15</w:t>
            </w:r>
          </w:p>
          <w:p w14:paraId="3D89ABAA">
            <w:pPr>
              <w:spacing w:before="0" w:after="20" w:line="245" w:lineRule="auto"/>
            </w:pPr>
            <w:r>
              <w:rPr>
                <w:rFonts w:ascii="Times New Roman" w:hAnsi="Times New Roman" w:eastAsia="宋体" w:cs="Times New Roman"/>
                <w:b w:val="0"/>
                <w:i w:val="0"/>
                <w:color w:val="555555"/>
                <w:sz w:val="17"/>
              </w:rPr>
              <w:t>支持「四舍六入五成双」</w:t>
            </w:r>
          </w:p>
        </w:tc>
        <w:tc>
          <w:tcPr>
            <w:tcW w:w="4184" w:type="dxa"/>
            <w:shd w:val="clear" w:color="auto" w:fill="F2F4F6"/>
          </w:tcPr>
          <w:p w14:paraId="139AEBC8">
            <w:pPr>
              <w:spacing w:before="0" w:after="20" w:line="245" w:lineRule="auto"/>
            </w:pPr>
            <w:r>
              <w:rPr>
                <w:rFonts w:ascii="Times New Roman" w:hAnsi="Times New Roman" w:eastAsia="宋体" w:cs="Times New Roman"/>
                <w:b w:val="0"/>
                <w:i w:val="0"/>
                <w:sz w:val="18"/>
              </w:rPr>
              <w:t>与浮点取整规则对齐，直接影响量化结果一致性</w:t>
            </w:r>
          </w:p>
        </w:tc>
      </w:tr>
    </w:tbl>
    <w:p w14:paraId="4F0AD33D">
      <w:pPr>
        <w:spacing w:before="0" w:after="80" w:line="259" w:lineRule="auto"/>
      </w:pPr>
      <w:r>
        <w:rPr>
          <w:rFonts w:ascii="Times New Roman" w:hAnsi="Times New Roman" w:eastAsia="宋体" w:cs="Times New Roman"/>
          <w:b w:val="0"/>
          <w:i w:val="0"/>
          <w:sz w:val="17"/>
        </w:rPr>
        <w:t>注：表 1 的时间与内容取自仓库 CHANGELOG.md 各版本条目，为官方记录原文的归纳，未做推断。</w:t>
      </w:r>
    </w:p>
    <w:p w14:paraId="2D364959">
      <w:pPr>
        <w:keepNext/>
        <w:spacing w:before="120" w:after="60" w:line="254" w:lineRule="auto"/>
      </w:pPr>
      <w:r>
        <w:rPr>
          <w:rFonts w:ascii="Times New Roman" w:hAnsi="Times New Roman" w:eastAsia="宋体" w:cs="Times New Roman"/>
          <w:b/>
          <w:i w:val="0"/>
          <w:sz w:val="23"/>
        </w:rPr>
        <w:t>2.4　协议层：mpc</w:t>
      </w:r>
    </w:p>
    <w:p w14:paraId="3289AA53">
      <w:pPr>
        <w:spacing w:before="0" w:after="80" w:line="259" w:lineRule="auto"/>
      </w:pPr>
      <w:r>
        <w:rPr>
          <w:rFonts w:ascii="Times New Roman" w:hAnsi="Times New Roman" w:eastAsia="宋体" w:cs="Times New Roman"/>
          <w:b w:val="0"/>
          <w:i w:val="0"/>
          <w:sz w:val="21"/>
        </w:rPr>
        <w:t>mpc 目录是 SPU 最具复用价值的部分，其下并列着六个协议族实现：semi2k、aby3、cheetah、spdz2k、securenn、ref2k，另有 common、tools、utils、standard_shape 四个支撑目录。这六个协议族不是同一层次的东西，它们分别对应不同的参与方数量、不同的安全假设与不同的性能取向，选型时必须区分。</w:t>
      </w:r>
    </w:p>
    <w:p w14:paraId="1E490DAC">
      <w:pPr>
        <w:keepNext/>
        <w:spacing w:before="100" w:after="40" w:line="252" w:lineRule="auto"/>
      </w:pPr>
      <w:r>
        <w:rPr>
          <w:rFonts w:ascii="Times New Roman" w:hAnsi="Times New Roman" w:eastAsia="宋体" w:cs="Times New Roman"/>
          <w:b/>
          <w:i w:val="0"/>
          <w:sz w:val="19"/>
        </w:rPr>
        <w:t>表 2　SPU 已实现的协议族及其定位</w:t>
      </w:r>
    </w:p>
    <w:tbl>
      <w:tblPr>
        <w:tblStyle w:val="33"/>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20" w:type="dxa"/>
          <w:bottom w:w="28" w:type="dxa"/>
          <w:right w:w="120" w:type="dxa"/>
        </w:tblCellMar>
      </w:tblPr>
      <w:tblGrid>
        <w:gridCol w:w="1440"/>
        <w:gridCol w:w="1040"/>
        <w:gridCol w:w="3500"/>
        <w:gridCol w:w="3200"/>
      </w:tblGrid>
      <w:tr w14:paraId="50ED7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tblHeader/>
          <w:jc w:val="center"/>
        </w:trPr>
        <w:tc>
          <w:tcPr>
            <w:tcW w:w="1440" w:type="dxa"/>
            <w:shd w:val="clear" w:color="auto" w:fill="2F4858"/>
          </w:tcPr>
          <w:p w14:paraId="75E0B497">
            <w:pPr>
              <w:spacing w:before="0" w:after="20" w:line="245" w:lineRule="auto"/>
            </w:pPr>
            <w:r>
              <w:rPr>
                <w:rFonts w:ascii="Times New Roman" w:hAnsi="Times New Roman" w:eastAsia="宋体" w:cs="Times New Roman"/>
                <w:b/>
                <w:i w:val="0"/>
                <w:color w:val="FFFFFF"/>
                <w:sz w:val="18"/>
              </w:rPr>
              <w:t>协议族</w:t>
            </w:r>
          </w:p>
        </w:tc>
        <w:tc>
          <w:tcPr>
            <w:tcW w:w="1040" w:type="dxa"/>
            <w:shd w:val="clear" w:color="auto" w:fill="2F4858"/>
          </w:tcPr>
          <w:p w14:paraId="4DF7DD72">
            <w:pPr>
              <w:spacing w:before="0" w:after="20" w:line="245" w:lineRule="auto"/>
            </w:pPr>
            <w:r>
              <w:rPr>
                <w:rFonts w:ascii="Times New Roman" w:hAnsi="Times New Roman" w:eastAsia="宋体" w:cs="Times New Roman"/>
                <w:b/>
                <w:i w:val="0"/>
                <w:color w:val="FFFFFF"/>
                <w:sz w:val="18"/>
              </w:rPr>
              <w:t>参与方</w:t>
            </w:r>
          </w:p>
        </w:tc>
        <w:tc>
          <w:tcPr>
            <w:tcW w:w="3500" w:type="dxa"/>
            <w:shd w:val="clear" w:color="auto" w:fill="2F4858"/>
          </w:tcPr>
          <w:p w14:paraId="58ABD2AA">
            <w:pPr>
              <w:spacing w:before="0" w:after="20" w:line="245" w:lineRule="auto"/>
            </w:pPr>
            <w:r>
              <w:rPr>
                <w:rFonts w:ascii="Times New Roman" w:hAnsi="Times New Roman" w:eastAsia="宋体" w:cs="Times New Roman"/>
                <w:b/>
                <w:i w:val="0"/>
                <w:color w:val="FFFFFF"/>
                <w:sz w:val="18"/>
              </w:rPr>
              <w:t>核心机制</w:t>
            </w:r>
          </w:p>
        </w:tc>
        <w:tc>
          <w:tcPr>
            <w:tcW w:w="3200" w:type="dxa"/>
            <w:shd w:val="clear" w:color="auto" w:fill="2F4858"/>
          </w:tcPr>
          <w:p w14:paraId="299AF07A">
            <w:pPr>
              <w:spacing w:before="0" w:after="20" w:line="245" w:lineRule="auto"/>
            </w:pPr>
            <w:r>
              <w:rPr>
                <w:rFonts w:ascii="Times New Roman" w:hAnsi="Times New Roman" w:eastAsia="宋体" w:cs="Times New Roman"/>
                <w:b/>
                <w:i w:val="0"/>
                <w:color w:val="FFFFFF"/>
                <w:sz w:val="18"/>
              </w:rPr>
              <w:t>适用取向</w:t>
            </w:r>
          </w:p>
        </w:tc>
      </w:tr>
      <w:tr w14:paraId="56A0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440" w:type="dxa"/>
          </w:tcPr>
          <w:p w14:paraId="0EC27594">
            <w:pPr>
              <w:spacing w:before="0" w:after="20" w:line="245" w:lineRule="auto"/>
            </w:pPr>
            <w:r>
              <w:rPr>
                <w:rFonts w:ascii="Times New Roman" w:hAnsi="Times New Roman" w:eastAsia="宋体" w:cs="Times New Roman"/>
                <w:b/>
                <w:i w:val="0"/>
                <w:sz w:val="18"/>
              </w:rPr>
              <w:t>SEMI2K</w:t>
            </w:r>
          </w:p>
        </w:tc>
        <w:tc>
          <w:tcPr>
            <w:tcW w:w="1040" w:type="dxa"/>
          </w:tcPr>
          <w:p w14:paraId="22BF78F9">
            <w:pPr>
              <w:spacing w:before="0" w:after="20" w:line="245" w:lineRule="auto"/>
            </w:pPr>
            <w:r>
              <w:rPr>
                <w:rFonts w:ascii="Times New Roman" w:hAnsi="Times New Roman" w:eastAsia="宋体" w:cs="Times New Roman"/>
                <w:b w:val="0"/>
                <w:i w:val="0"/>
                <w:sz w:val="18"/>
              </w:rPr>
              <w:t>两方</w:t>
            </w:r>
          </w:p>
        </w:tc>
        <w:tc>
          <w:tcPr>
            <w:tcW w:w="3500" w:type="dxa"/>
          </w:tcPr>
          <w:p w14:paraId="0607A45E">
            <w:pPr>
              <w:spacing w:before="0" w:after="20" w:line="245" w:lineRule="auto"/>
            </w:pPr>
            <w:r>
              <w:rPr>
                <w:rFonts w:ascii="Times New Roman" w:hAnsi="Times New Roman" w:eastAsia="宋体" w:cs="Times New Roman"/>
                <w:b w:val="0"/>
                <w:i w:val="0"/>
                <w:sz w:val="18"/>
              </w:rPr>
              <w:t>半诚实假设、算术分片，支持 TTP 三元组与 soPRF（LowMC）</w:t>
            </w:r>
          </w:p>
        </w:tc>
        <w:tc>
          <w:tcPr>
            <w:tcW w:w="3200" w:type="dxa"/>
          </w:tcPr>
          <w:p w14:paraId="17AA5018">
            <w:pPr>
              <w:spacing w:before="0" w:after="20" w:line="245" w:lineRule="auto"/>
            </w:pPr>
            <w:r>
              <w:rPr>
                <w:rFonts w:ascii="Times New Roman" w:hAnsi="Times New Roman" w:eastAsia="宋体" w:cs="Times New Roman"/>
                <w:b w:val="0"/>
                <w:i w:val="0"/>
                <w:sz w:val="18"/>
              </w:rPr>
              <w:t>两方场景的通用首选，算子覆盖最广</w:t>
            </w:r>
          </w:p>
        </w:tc>
      </w:tr>
      <w:tr w14:paraId="0FBB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440" w:type="dxa"/>
            <w:shd w:val="clear" w:color="auto" w:fill="F2F4F6"/>
          </w:tcPr>
          <w:p w14:paraId="1C78A1E9">
            <w:pPr>
              <w:spacing w:before="0" w:after="20" w:line="245" w:lineRule="auto"/>
            </w:pPr>
            <w:r>
              <w:rPr>
                <w:rFonts w:ascii="Times New Roman" w:hAnsi="Times New Roman" w:eastAsia="宋体" w:cs="Times New Roman"/>
                <w:b/>
                <w:i w:val="0"/>
                <w:sz w:val="18"/>
              </w:rPr>
              <w:t>ABY3</w:t>
            </w:r>
          </w:p>
        </w:tc>
        <w:tc>
          <w:tcPr>
            <w:tcW w:w="1040" w:type="dxa"/>
            <w:shd w:val="clear" w:color="auto" w:fill="F2F4F6"/>
          </w:tcPr>
          <w:p w14:paraId="0E663720">
            <w:pPr>
              <w:spacing w:before="0" w:after="20" w:line="245" w:lineRule="auto"/>
            </w:pPr>
            <w:r>
              <w:rPr>
                <w:rFonts w:ascii="Times New Roman" w:hAnsi="Times New Roman" w:eastAsia="宋体" w:cs="Times New Roman"/>
                <w:b w:val="0"/>
                <w:i w:val="0"/>
                <w:sz w:val="18"/>
              </w:rPr>
              <w:t>三方</w:t>
            </w:r>
          </w:p>
        </w:tc>
        <w:tc>
          <w:tcPr>
            <w:tcW w:w="3500" w:type="dxa"/>
            <w:shd w:val="clear" w:color="auto" w:fill="F2F4F6"/>
          </w:tcPr>
          <w:p w14:paraId="649D581B">
            <w:pPr>
              <w:spacing w:before="0" w:after="20" w:line="245" w:lineRule="auto"/>
            </w:pPr>
            <w:r>
              <w:rPr>
                <w:rFonts w:ascii="Times New Roman" w:hAnsi="Times New Roman" w:eastAsia="宋体" w:cs="Times New Roman"/>
                <w:b w:val="0"/>
                <w:i w:val="0"/>
                <w:sz w:val="18"/>
              </w:rPr>
              <w:t>三方复制秘密共享，支持 ORAM 动态切片与基数排序</w:t>
            </w:r>
          </w:p>
        </w:tc>
        <w:tc>
          <w:tcPr>
            <w:tcW w:w="3200" w:type="dxa"/>
            <w:shd w:val="clear" w:color="auto" w:fill="F2F4F6"/>
          </w:tcPr>
          <w:p w14:paraId="434A9CCF">
            <w:pPr>
              <w:spacing w:before="0" w:after="20" w:line="245" w:lineRule="auto"/>
            </w:pPr>
            <w:r>
              <w:rPr>
                <w:rFonts w:ascii="Times New Roman" w:hAnsi="Times New Roman" w:eastAsia="宋体" w:cs="Times New Roman"/>
                <w:b w:val="0"/>
                <w:i w:val="0"/>
                <w:sz w:val="18"/>
              </w:rPr>
              <w:t>三方场景；有诚实多数假设下更优的性能</w:t>
            </w:r>
          </w:p>
        </w:tc>
      </w:tr>
      <w:tr w14:paraId="3860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440" w:type="dxa"/>
          </w:tcPr>
          <w:p w14:paraId="62FC55AD">
            <w:pPr>
              <w:spacing w:before="0" w:after="20" w:line="245" w:lineRule="auto"/>
            </w:pPr>
            <w:r>
              <w:rPr>
                <w:rFonts w:ascii="Times New Roman" w:hAnsi="Times New Roman" w:eastAsia="宋体" w:cs="Times New Roman"/>
                <w:b/>
                <w:i w:val="0"/>
                <w:sz w:val="18"/>
              </w:rPr>
              <w:t>Cheetah</w:t>
            </w:r>
          </w:p>
        </w:tc>
        <w:tc>
          <w:tcPr>
            <w:tcW w:w="1040" w:type="dxa"/>
          </w:tcPr>
          <w:p w14:paraId="5693CEF8">
            <w:pPr>
              <w:spacing w:before="0" w:after="20" w:line="245" w:lineRule="auto"/>
            </w:pPr>
            <w:r>
              <w:rPr>
                <w:rFonts w:ascii="Times New Roman" w:hAnsi="Times New Roman" w:eastAsia="宋体" w:cs="Times New Roman"/>
                <w:b w:val="0"/>
                <w:i w:val="0"/>
                <w:sz w:val="18"/>
              </w:rPr>
              <w:t>两方</w:t>
            </w:r>
          </w:p>
        </w:tc>
        <w:tc>
          <w:tcPr>
            <w:tcW w:w="3500" w:type="dxa"/>
          </w:tcPr>
          <w:p w14:paraId="6DC9DEC1">
            <w:pPr>
              <w:spacing w:before="0" w:after="20" w:line="245" w:lineRule="auto"/>
            </w:pPr>
            <w:r>
              <w:rPr>
                <w:rFonts w:ascii="Times New Roman" w:hAnsi="Times New Roman" w:eastAsia="宋体" w:cs="Times New Roman"/>
                <w:b w:val="0"/>
                <w:i w:val="0"/>
                <w:sz w:val="18"/>
              </w:rPr>
              <w:t>同态加密与 MPC 结合，接入 yacl 的 OT 实现</w:t>
            </w:r>
          </w:p>
        </w:tc>
        <w:tc>
          <w:tcPr>
            <w:tcW w:w="3200" w:type="dxa"/>
          </w:tcPr>
          <w:p w14:paraId="1BCB758F">
            <w:pPr>
              <w:spacing w:before="0" w:after="20" w:line="245" w:lineRule="auto"/>
            </w:pPr>
            <w:r>
              <w:rPr>
                <w:rFonts w:ascii="Times New Roman" w:hAnsi="Times New Roman" w:eastAsia="宋体" w:cs="Times New Roman"/>
                <w:b w:val="0"/>
                <w:i w:val="0"/>
                <w:sz w:val="18"/>
              </w:rPr>
              <w:t>乘加密集且对通信轮次敏感的场景</w:t>
            </w:r>
          </w:p>
        </w:tc>
      </w:tr>
      <w:tr w14:paraId="665F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440" w:type="dxa"/>
            <w:shd w:val="clear" w:color="auto" w:fill="F2F4F6"/>
          </w:tcPr>
          <w:p w14:paraId="3AB7DB6C">
            <w:pPr>
              <w:spacing w:before="0" w:after="20" w:line="245" w:lineRule="auto"/>
            </w:pPr>
            <w:r>
              <w:rPr>
                <w:rFonts w:ascii="Times New Roman" w:hAnsi="Times New Roman" w:eastAsia="宋体" w:cs="Times New Roman"/>
                <w:b/>
                <w:i w:val="0"/>
                <w:sz w:val="18"/>
              </w:rPr>
              <w:t>SPDZ2K</w:t>
            </w:r>
          </w:p>
        </w:tc>
        <w:tc>
          <w:tcPr>
            <w:tcW w:w="1040" w:type="dxa"/>
            <w:shd w:val="clear" w:color="auto" w:fill="F2F4F6"/>
          </w:tcPr>
          <w:p w14:paraId="115F0E5B">
            <w:pPr>
              <w:spacing w:before="0" w:after="20" w:line="245" w:lineRule="auto"/>
            </w:pPr>
            <w:r>
              <w:rPr>
                <w:rFonts w:ascii="Times New Roman" w:hAnsi="Times New Roman" w:eastAsia="宋体" w:cs="Times New Roman"/>
                <w:b w:val="0"/>
                <w:i w:val="0"/>
                <w:sz w:val="18"/>
              </w:rPr>
              <w:t>多方</w:t>
            </w:r>
          </w:p>
        </w:tc>
        <w:tc>
          <w:tcPr>
            <w:tcW w:w="3500" w:type="dxa"/>
            <w:shd w:val="clear" w:color="auto" w:fill="F2F4F6"/>
          </w:tcPr>
          <w:p w14:paraId="32E4CB64">
            <w:pPr>
              <w:spacing w:before="0" w:after="20" w:line="245" w:lineRule="auto"/>
            </w:pPr>
            <w:r>
              <w:rPr>
                <w:rFonts w:ascii="Times New Roman" w:hAnsi="Times New Roman" w:eastAsia="宋体" w:cs="Times New Roman"/>
                <w:b w:val="0"/>
                <w:i w:val="0"/>
                <w:sz w:val="18"/>
              </w:rPr>
              <w:t>带 MAC 校验的 SPDZ 系列变体</w:t>
            </w:r>
          </w:p>
        </w:tc>
        <w:tc>
          <w:tcPr>
            <w:tcW w:w="3200" w:type="dxa"/>
            <w:shd w:val="clear" w:color="auto" w:fill="F2F4F6"/>
          </w:tcPr>
          <w:p w14:paraId="082FF645">
            <w:pPr>
              <w:spacing w:before="0" w:after="20" w:line="245" w:lineRule="auto"/>
            </w:pPr>
            <w:r>
              <w:rPr>
                <w:rFonts w:ascii="Times New Roman" w:hAnsi="Times New Roman" w:eastAsia="宋体" w:cs="Times New Roman"/>
                <w:b w:val="0"/>
                <w:i w:val="0"/>
                <w:sz w:val="18"/>
              </w:rPr>
              <w:t>需要防恶意行为的场景</w:t>
            </w:r>
          </w:p>
        </w:tc>
      </w:tr>
      <w:tr w14:paraId="3801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440" w:type="dxa"/>
          </w:tcPr>
          <w:p w14:paraId="072B1CBF">
            <w:pPr>
              <w:spacing w:before="0" w:after="20" w:line="245" w:lineRule="auto"/>
            </w:pPr>
            <w:r>
              <w:rPr>
                <w:rFonts w:ascii="Times New Roman" w:hAnsi="Times New Roman" w:eastAsia="宋体" w:cs="Times New Roman"/>
                <w:b/>
                <w:i w:val="0"/>
                <w:sz w:val="18"/>
              </w:rPr>
              <w:t>SecureNN</w:t>
            </w:r>
          </w:p>
        </w:tc>
        <w:tc>
          <w:tcPr>
            <w:tcW w:w="1040" w:type="dxa"/>
          </w:tcPr>
          <w:p w14:paraId="1E52288A">
            <w:pPr>
              <w:spacing w:before="0" w:after="20" w:line="245" w:lineRule="auto"/>
            </w:pPr>
            <w:r>
              <w:rPr>
                <w:rFonts w:ascii="Times New Roman" w:hAnsi="Times New Roman" w:eastAsia="宋体" w:cs="Times New Roman"/>
                <w:b w:val="0"/>
                <w:i w:val="0"/>
                <w:sz w:val="18"/>
              </w:rPr>
              <w:t>三方</w:t>
            </w:r>
          </w:p>
        </w:tc>
        <w:tc>
          <w:tcPr>
            <w:tcW w:w="3500" w:type="dxa"/>
          </w:tcPr>
          <w:p w14:paraId="2B448360">
            <w:pPr>
              <w:spacing w:before="0" w:after="20" w:line="245" w:lineRule="auto"/>
            </w:pPr>
            <w:r>
              <w:rPr>
                <w:rFonts w:ascii="Times New Roman" w:hAnsi="Times New Roman" w:eastAsia="宋体" w:cs="Times New Roman"/>
                <w:b w:val="0"/>
                <w:i w:val="0"/>
                <w:sz w:val="18"/>
              </w:rPr>
              <w:t>神经网络推理专用协议</w:t>
            </w:r>
          </w:p>
        </w:tc>
        <w:tc>
          <w:tcPr>
            <w:tcW w:w="3200" w:type="dxa"/>
          </w:tcPr>
          <w:p w14:paraId="493E700C">
            <w:pPr>
              <w:spacing w:before="0" w:after="20" w:line="245" w:lineRule="auto"/>
            </w:pPr>
            <w:r>
              <w:rPr>
                <w:rFonts w:ascii="Times New Roman" w:hAnsi="Times New Roman" w:eastAsia="宋体" w:cs="Times New Roman"/>
                <w:b w:val="0"/>
                <w:i w:val="0"/>
                <w:sz w:val="18"/>
              </w:rPr>
              <w:t>面向推理而非通用张量运算</w:t>
            </w:r>
          </w:p>
        </w:tc>
      </w:tr>
      <w:tr w14:paraId="07F2C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20" w:type="dxa"/>
            <w:bottom w:w="28" w:type="dxa"/>
            <w:right w:w="120" w:type="dxa"/>
          </w:tblCellMar>
        </w:tblPrEx>
        <w:trPr>
          <w:jc w:val="center"/>
        </w:trPr>
        <w:tc>
          <w:tcPr>
            <w:tcW w:w="1440" w:type="dxa"/>
            <w:shd w:val="clear" w:color="auto" w:fill="F2F4F6"/>
          </w:tcPr>
          <w:p w14:paraId="3598D667">
            <w:pPr>
              <w:spacing w:before="0" w:after="20" w:line="245" w:lineRule="auto"/>
            </w:pPr>
            <w:r>
              <w:rPr>
                <w:rFonts w:ascii="Times New Roman" w:hAnsi="Times New Roman" w:eastAsia="宋体" w:cs="Times New Roman"/>
                <w:b/>
                <w:i w:val="0"/>
                <w:sz w:val="18"/>
              </w:rPr>
              <w:t>Ref2K</w:t>
            </w:r>
          </w:p>
        </w:tc>
        <w:tc>
          <w:tcPr>
            <w:tcW w:w="1040" w:type="dxa"/>
            <w:shd w:val="clear" w:color="auto" w:fill="F2F4F6"/>
          </w:tcPr>
          <w:p w14:paraId="43B3CFB9">
            <w:pPr>
              <w:spacing w:before="0" w:after="20" w:line="245" w:lineRule="auto"/>
            </w:pPr>
            <w:r>
              <w:rPr>
                <w:rFonts w:ascii="Times New Roman" w:hAnsi="Times New Roman" w:eastAsia="宋体" w:cs="Times New Roman"/>
                <w:b w:val="0"/>
                <w:i w:val="0"/>
                <w:sz w:val="18"/>
              </w:rPr>
              <w:t>两方</w:t>
            </w:r>
          </w:p>
        </w:tc>
        <w:tc>
          <w:tcPr>
            <w:tcW w:w="3500" w:type="dxa"/>
            <w:shd w:val="clear" w:color="auto" w:fill="F2F4F6"/>
          </w:tcPr>
          <w:p w14:paraId="2AD33D20">
            <w:pPr>
              <w:spacing w:before="0" w:after="20" w:line="245" w:lineRule="auto"/>
            </w:pPr>
            <w:r>
              <w:rPr>
                <w:rFonts w:ascii="Times New Roman" w:hAnsi="Times New Roman" w:eastAsia="宋体" w:cs="Times New Roman"/>
                <w:b w:val="0"/>
                <w:i w:val="0"/>
                <w:sz w:val="18"/>
              </w:rPr>
              <w:t>以参考实现为主的对照实现</w:t>
            </w:r>
          </w:p>
        </w:tc>
        <w:tc>
          <w:tcPr>
            <w:tcW w:w="3200" w:type="dxa"/>
            <w:shd w:val="clear" w:color="auto" w:fill="F2F4F6"/>
          </w:tcPr>
          <w:p w14:paraId="5C8D64AD">
            <w:pPr>
              <w:spacing w:before="0" w:after="20" w:line="245" w:lineRule="auto"/>
            </w:pPr>
            <w:r>
              <w:rPr>
                <w:rFonts w:ascii="Times New Roman" w:hAnsi="Times New Roman" w:eastAsia="宋体" w:cs="Times New Roman"/>
                <w:b w:val="0"/>
                <w:i w:val="0"/>
                <w:sz w:val="18"/>
              </w:rPr>
              <w:t>用于验证与对照，不作为性能路径</w:t>
            </w:r>
          </w:p>
        </w:tc>
      </w:tr>
    </w:tbl>
    <w:p w14:paraId="6DF3E4A4">
      <w:pPr>
        <w:spacing w:before="0" w:after="80" w:line="259" w:lineRule="auto"/>
      </w:pPr>
      <w:r>
        <w:rPr>
          <w:rFonts w:ascii="Times New Roman" w:hAnsi="Times New Roman" w:eastAsia="宋体" w:cs="Times New Roman"/>
          <w:b w:val="0"/>
          <w:i w:val="0"/>
          <w:sz w:val="17"/>
        </w:rPr>
        <w:t>注：表中「定位」列为依据协议族的公开定义与仓库内相关模块、变更记录归纳，性能取向属机制层面的固有取舍，非实测结论。</w:t>
      </w:r>
    </w:p>
    <w:p w14:paraId="0C5CB778">
      <w:pPr>
        <w:spacing w:before="0" w:after="80" w:line="259" w:lineRule="auto"/>
      </w:pPr>
      <w:r>
        <w:rPr>
          <w:rFonts w:ascii="Times New Roman" w:hAnsi="Times New Roman" w:eastAsia="宋体" w:cs="Times New Roman"/>
          <w:b w:val="0"/>
          <w:i w:val="0"/>
          <w:sz w:val="21"/>
        </w:rPr>
        <w:t>表中值得单独点出的是 SEMI2K 与 ABY3 这对组合。二者是仓库内长期维护投入最重的两条主线，大量特性先在 SEMI2K 落地再向 ABY3 补齐，或反之。近期与协议语义正确性直接相关的一次提交值得记录：2026 年 4 月 22 日，SEMI2K 与 ABY3 的 TruncA（截断）由对称截断改为非对称截断，把两片各自的「向下取整」偏差抵消为期望误差趋近于零。这条修改对我们有直接价值，因为它正是密态定点乘法后取整精度的来源，而我们的量化与阈值判定对取整误差是敏感的。</w:t>
      </w:r>
    </w:p>
    <w:p w14:paraId="322DEDD2">
      <w:pPr>
        <w:keepNext/>
        <w:spacing w:before="120" w:after="60" w:line="254" w:lineRule="auto"/>
      </w:pPr>
      <w:r>
        <w:rPr>
          <w:rFonts w:ascii="Times New Roman" w:hAnsi="Times New Roman" w:eastAsia="宋体" w:cs="Times New Roman"/>
          <w:b/>
          <w:i w:val="0"/>
          <w:sz w:val="23"/>
        </w:rPr>
        <w:t>2.5　设备层与加速</w:t>
      </w:r>
    </w:p>
    <w:p w14:paraId="130DD25C">
      <w:pPr>
        <w:spacing w:before="0" w:after="80" w:line="259" w:lineRule="auto"/>
      </w:pPr>
      <w:r>
        <w:rPr>
          <w:rFonts w:ascii="Times New Roman" w:hAnsi="Times New Roman" w:eastAsia="宋体" w:cs="Times New Roman"/>
          <w:b w:val="0"/>
          <w:i w:val="0"/>
          <w:sz w:val="21"/>
        </w:rPr>
        <w:t>平台支持情况需要如实记录，因为它直接约束部署方式。CPU 侧支持 Linux x86_64、Linux aarch64、macOS x64、macOS Apple Silicon 与 Windows WSL2 x64；Windows 原生 x64 明确为不支持。GPU 侧仅有 Linux x86_64 与 WSL2 处于实验状态，其余平台不支持。硬件特性上，通用路径要求 AVX 或 ARMv8，基于 FourQ 的 PSI 要求 AVX2 或 ARMv8，GPU 实验路径要求 CUDA 11.8 以上。另有一条限制值得注意：受持续集成资源限制，macOS x64 的预编译二进制已不再提供。</w:t>
      </w:r>
    </w:p>
    <w:p w14:paraId="23CFEDBF">
      <w:pPr>
        <w:spacing w:before="0" w:after="80" w:line="259" w:lineRule="auto"/>
      </w:pPr>
      <w:r>
        <w:rPr>
          <w:rFonts w:ascii="Times New Roman" w:hAnsi="Times New Roman" w:eastAsia="宋体" w:cs="Times New Roman"/>
          <w:b w:val="0"/>
          <w:i w:val="0"/>
          <w:sz w:val="21"/>
        </w:rPr>
        <w:t>这段信息对我们的含义很具体：如果验证环境是 Windows，必须走 WSL2；若要尝试 GPU 加速，只有 Linux 原生或 WSL2 两条路，且官方标注为实验性，不宜作为验证方案的性能承诺基础。</w:t>
      </w:r>
    </w:p>
    <w:p w14:paraId="3A6E6E4B">
      <w:pPr>
        <w:keepNext/>
        <w:spacing w:before="180" w:after="80" w:line="252" w:lineRule="auto"/>
      </w:pPr>
      <w:r>
        <w:rPr>
          <w:rFonts w:ascii="Times New Roman" w:hAnsi="Times New Roman" w:eastAsia="宋体" w:cs="Times New Roman"/>
          <w:b/>
          <w:i w:val="0"/>
          <w:sz w:val="26"/>
        </w:rPr>
        <w:t>三　开发进展核查</w:t>
      </w:r>
    </w:p>
    <w:p w14:paraId="7D7E8CC8">
      <w:pPr>
        <w:spacing w:before="0" w:after="80" w:line="259" w:lineRule="auto"/>
      </w:pPr>
      <w:r>
        <w:rPr>
          <w:rFonts w:ascii="Times New Roman" w:hAnsi="Times New Roman" w:eastAsia="宋体" w:cs="Times New Roman"/>
          <w:b w:val="0"/>
          <w:i w:val="0"/>
          <w:sz w:val="21"/>
        </w:rPr>
        <w:t>本节只陈述可从仓库直接读出的事实，并对事实之间的落差作必要说明。</w:t>
      </w:r>
    </w:p>
    <w:p w14:paraId="472E63D2">
      <w:pPr>
        <w:keepNext/>
        <w:spacing w:before="120" w:after="60" w:line="254" w:lineRule="auto"/>
      </w:pPr>
      <w:r>
        <w:rPr>
          <w:rFonts w:ascii="Times New Roman" w:hAnsi="Times New Roman" w:eastAsia="宋体" w:cs="Times New Roman"/>
          <w:b/>
          <w:i w:val="0"/>
          <w:sz w:val="23"/>
        </w:rPr>
        <w:t>3.1　版本状态</w:t>
      </w:r>
    </w:p>
    <w:p w14:paraId="4DDAE366">
      <w:pPr>
        <w:spacing w:before="0" w:after="80" w:line="259" w:lineRule="auto"/>
      </w:pPr>
      <w:r>
        <w:rPr>
          <w:rFonts w:ascii="Times New Roman" w:hAnsi="Times New Roman" w:eastAsia="宋体" w:cs="Times New Roman"/>
          <w:b w:val="0"/>
          <w:i w:val="0"/>
          <w:sz w:val="21"/>
        </w:rPr>
        <w:t>主分支的版本标记文件 version.bzl 当前取值为 0.10.0.dev20251211，即 0.10.0 的开发快照，日期戳为 2025 年 12 月 11 日。但官方 Releases 页面上最新一次正式发布仍是 0.9.4，发布时间为 2025 年 9 月。也就是说 0.10.x 从 2025 年 12 月进入开发态至今约九个月，尚未收敛为正式版本。变更日志的 staging 段落目前为空，意味着没有已合并但未发布的条目在排队。</w:t>
      </w:r>
    </w:p>
    <w:p w14:paraId="6840CBF2">
      <w:pPr>
        <w:spacing w:before="0" w:after="80" w:line="259" w:lineRule="auto"/>
      </w:pPr>
      <w:r>
        <w:rPr>
          <w:rFonts w:ascii="Times New Roman" w:hAnsi="Times New Roman" w:eastAsia="宋体" w:cs="Times New Roman"/>
          <w:b w:val="0"/>
          <w:i w:val="0"/>
          <w:sz w:val="21"/>
        </w:rPr>
        <w:t>对使用者的实际影响是：若按正式发布选用，只能取到 0.9.4；若按开发态选用，需自行从源码构建并承担未定型的风险。这一取舍在选型时必须明确写清，不能笼统写作「使用最新版本」。</w:t>
      </w:r>
    </w:p>
    <w:p w14:paraId="0B1D0C12">
      <w:pPr>
        <w:keepNext/>
        <w:spacing w:before="120" w:after="60" w:line="254" w:lineRule="auto"/>
      </w:pPr>
      <w:r>
        <w:rPr>
          <w:rFonts w:ascii="Times New Roman" w:hAnsi="Times New Roman" w:eastAsia="宋体" w:cs="Times New Roman"/>
          <w:b/>
          <w:i w:val="0"/>
          <w:sz w:val="23"/>
        </w:rPr>
        <w:t>3.2　0.9.4 之后的功能增量</w:t>
      </w:r>
    </w:p>
    <w:p w14:paraId="5AFFB52E">
      <w:pPr>
        <w:spacing w:before="0" w:after="80" w:line="259" w:lineRule="auto"/>
      </w:pPr>
      <w:r>
        <w:rPr>
          <w:rFonts w:ascii="Times New Roman" w:hAnsi="Times New Roman" w:eastAsia="宋体" w:cs="Times New Roman"/>
          <w:b w:val="0"/>
          <w:i w:val="0"/>
          <w:sz w:val="21"/>
        </w:rPr>
        <w:t>把 0.10.x 开发期已合并的实质功能列出，集中在四个方面。基础设施上，构建切换到 Bazel 模块化，Bazel 版本升至 7.7.1，包管理器改用 uv，Jax 升级到 0.8.0，最低 Python 版本提高到 3.11。算子与内核上，HLO 层新增 GroupByAgg 算子，并实现了保密分组求和的优化与保密分组求平均。通信与接口上，新增 IChannel 的 Python 绑定，并把自定义调用从 custom_call 迁移到 ffi_call。基础设施杂项方面，加强了编译产物发布流程与文档发布流程。</w:t>
      </w:r>
    </w:p>
    <w:p w14:paraId="3DE5D377">
      <w:pPr>
        <w:spacing w:before="0" w:after="80" w:line="259" w:lineRule="auto"/>
      </w:pPr>
      <w:r>
        <w:rPr>
          <w:rFonts w:ascii="Times New Roman" w:hAnsi="Times New Roman" w:eastAsia="宋体" w:cs="Times New Roman"/>
          <w:b w:val="0"/>
          <w:i w:val="0"/>
          <w:sz w:val="21"/>
        </w:rPr>
        <w:t>需要指出的是，这批增量中真正属于算法能力扩展的只有分组聚合一项，其余多为工程基建。从「能否支撑我们的密态判定」这个角度看，0.9.4 已有的等值判定、位计数、排序、动态切片、置换与数学函数近似已经覆盖了我们需求的绝大部分；0.10.x 新增的分组聚合则补齐了按格网聚合统计这一环。</w:t>
      </w:r>
    </w:p>
    <w:p w14:paraId="7302964A">
      <w:pPr>
        <w:keepNext/>
        <w:spacing w:before="120" w:after="60" w:line="254" w:lineRule="auto"/>
      </w:pPr>
      <w:r>
        <w:rPr>
          <w:rFonts w:ascii="Times New Roman" w:hAnsi="Times New Roman" w:eastAsia="宋体" w:cs="Times New Roman"/>
          <w:b/>
          <w:i w:val="0"/>
          <w:sz w:val="23"/>
        </w:rPr>
        <w:t>3.3　提交活跃度的实际形态</w:t>
      </w:r>
    </w:p>
    <w:p w14:paraId="07017265">
      <w:pPr>
        <w:spacing w:before="0" w:after="80" w:line="259" w:lineRule="auto"/>
      </w:pPr>
      <w:r>
        <w:rPr>
          <w:rFonts w:ascii="Times New Roman" w:hAnsi="Times New Roman" w:eastAsia="宋体" w:cs="Times New Roman"/>
          <w:b w:val="0"/>
          <w:i w:val="0"/>
          <w:sz w:val="21"/>
        </w:rPr>
        <w:t>按提交时间逐条核对后可以看到一个明显的分界。2025 年 11 月至 12 月是密集开发期，期间完成了 Jax 0.8.0 迁移、版本升档、分组聚合优化、IChannel 绑定、调用机制迁移等多项实质工作。进入 2026 年后节奏显著放缓：1 月 6 日与 1 月 26 日各有少量功能提交（基数排序支持有符号与无符号类型、新增 is_stable），1 月 26 日之后出现约三个月的空档，直到 4 月 22 日才有一次协议语义修正提交。自 4 月 22 日至今约五个月，主分支没有新的功能提交，新的活动集中在依赖升级类机器人提交上。</w:t>
      </w:r>
    </w:p>
    <w:p w14:paraId="389E43AD">
      <w:pPr>
        <w:spacing w:before="0" w:after="80" w:line="259" w:lineRule="auto"/>
      </w:pPr>
      <w:r>
        <w:rPr>
          <w:rFonts w:ascii="Times New Roman" w:hAnsi="Times New Roman" w:eastAsia="宋体" w:cs="Times New Roman"/>
          <w:b w:val="0"/>
          <w:i w:val="0"/>
          <w:sz w:val="21"/>
        </w:rPr>
        <w:t>这一判断还与当前待合并请求的构成相互印证。仓库现有 22 个待合并请求、1014 个已合并或关闭请求，而在待合并的这批里，可辨识的绝大多数来自依赖升级机器人，涉及 scikit-learn、codeql-action、harden-runner、dependency-review-action、sphinxcontrib-mermaid、setup-node、sphinx-intl 等，任务类型标记均为依赖类。这说明维护团队当前的主要动作是保持依赖与安全告警的跟进，而非推进新的算法能力。</w:t>
      </w:r>
    </w:p>
    <w:p w14:paraId="0312B249">
      <w:pPr>
        <w:spacing w:before="0" w:after="80" w:line="259" w:lineRule="auto"/>
      </w:pPr>
      <w:r>
        <w:rPr>
          <w:rFonts w:ascii="Times New Roman" w:hAnsi="Times New Roman" w:eastAsia="宋体" w:cs="Times New Roman"/>
          <w:b w:val="0"/>
          <w:i w:val="0"/>
          <w:sz w:val="21"/>
        </w:rPr>
        <w:t>需要谨慎表述的是：提交记录的疏密只能说明仓库对外可见的活动形态，不能据此断言团队内部没有在研工作。隐语体系的代码存在周期性从内部仓库同步到开源仓库的痕迹，变更记录中多次出现形如 repo-sync 加时间戳的条目，说明开源仓库并非其唯一开发场所。因此本节结论应表述为「公开仓库当前处于维护节奏」而非「项目已停止开发」。</w:t>
      </w:r>
    </w:p>
    <w:p w14:paraId="4A1B1FD4">
      <w:pPr>
        <w:keepNext/>
        <w:spacing w:before="180" w:after="80" w:line="252" w:lineRule="auto"/>
      </w:pPr>
      <w:r>
        <w:rPr>
          <w:rFonts w:ascii="Times New Roman" w:hAnsi="Times New Roman" w:eastAsia="宋体" w:cs="Times New Roman"/>
          <w:b/>
          <w:i w:val="0"/>
          <w:sz w:val="26"/>
        </w:rPr>
        <w:t>四　生态与其他实现的关系</w:t>
      </w:r>
    </w:p>
    <w:p w14:paraId="56C6AE38">
      <w:pPr>
        <w:spacing w:before="0" w:after="80" w:line="259" w:lineRule="auto"/>
      </w:pPr>
      <w:r>
        <w:rPr>
          <w:rFonts w:ascii="Times New Roman" w:hAnsi="Times New Roman" w:eastAsia="宋体" w:cs="Times New Roman"/>
          <w:b w:val="0"/>
          <w:i w:val="0"/>
          <w:sz w:val="21"/>
        </w:rPr>
        <w:t>SPU 并非孤例，理解其周边有助于判断复用边界。有两条线索值得记录。</w:t>
      </w:r>
    </w:p>
    <w:p w14:paraId="125C788E">
      <w:pPr>
        <w:spacing w:before="0" w:after="80" w:line="259" w:lineRule="auto"/>
      </w:pPr>
      <w:r>
        <w:rPr>
          <w:rFonts w:ascii="Times New Roman" w:hAnsi="Times New Roman" w:eastAsia="宋体" w:cs="Times New Roman"/>
          <w:b w:val="0"/>
          <w:i w:val="0"/>
          <w:sz w:val="21"/>
        </w:rPr>
        <w:t>一条是 SML 的拆分。2025 年 8 月 12 日，仓库把 SML 从 SPU 中移除并迁出为独立仓库 secretflow/sml。这意味着若我们的方案涉及机器学习模型层，需要同时引入该独立仓库，而不能只装 SPU。</w:t>
      </w:r>
    </w:p>
    <w:p w14:paraId="176AC984">
      <w:pPr>
        <w:spacing w:before="0" w:after="80" w:line="259" w:lineRule="auto"/>
      </w:pPr>
      <w:r>
        <w:rPr>
          <w:rFonts w:ascii="Times New Roman" w:hAnsi="Times New Roman" w:eastAsia="宋体" w:cs="Times New Roman"/>
          <w:b w:val="0"/>
          <w:i w:val="0"/>
          <w:sz w:val="21"/>
        </w:rPr>
        <w:t>另一条是学术成果对能力的支撑。仓库官方列出两篇论文作为引用依据：一篇是 USENIX ATC 2023 的 SecretFlow-SPU，讲的是整体框架的性能与易用性；另一篇是 ICML 2024 的 Ditto，主题是面向 MPC 的量化感知 Transformer 安全推理，其做法是把量化感知的蒸馏与专门的 MPC 原语结合，报告相对 MPCFormer 提速约 3.14 至 4.40 倍，相对 PUMA 提速约 1.44 至 2.35 倍，且效用损失可忽略。Ditto 这条线对我们有额外参考价值：它处理的正是量化与密态计算的结合问题，而我们的属性量化字典同样面临「量化精度与密态开销如何平衡」的取舍。</w:t>
      </w:r>
    </w:p>
    <w:p w14:paraId="711047CF">
      <w:pPr>
        <w:spacing w:before="0" w:after="80" w:line="259" w:lineRule="auto"/>
      </w:pPr>
      <w:r>
        <w:rPr>
          <w:rFonts w:ascii="Times New Roman" w:hAnsi="Times New Roman" w:eastAsia="宋体" w:cs="Times New Roman"/>
          <w:b w:val="0"/>
          <w:i w:val="0"/>
          <w:sz w:val="21"/>
        </w:rPr>
        <w:t>此外，仓库标记的主题包含隐私保护、隐私集合求交与安全多方计算三类，并集成了独立的 PSI 仓库 secretflow/psi，变更记录中可见 PSI 版本更新与基于 FourQ 的实现。这条能力线与我们的格网数据接入关系较远，仅在需要做多方数据对齐时才可能用到。</w:t>
      </w:r>
    </w:p>
    <w:p w14:paraId="5B4BEAA2">
      <w:pPr>
        <w:keepNext/>
        <w:spacing w:before="180" w:after="80" w:line="252" w:lineRule="auto"/>
      </w:pPr>
      <w:r>
        <w:rPr>
          <w:rFonts w:ascii="Times New Roman" w:hAnsi="Times New Roman" w:eastAsia="宋体" w:cs="Times New Roman"/>
          <w:b/>
          <w:i w:val="0"/>
          <w:sz w:val="26"/>
        </w:rPr>
        <w:t>五　对本课题的落点判断</w:t>
      </w:r>
    </w:p>
    <w:p w14:paraId="31B6D29B">
      <w:pPr>
        <w:spacing w:before="0" w:after="80" w:line="259" w:lineRule="auto"/>
      </w:pPr>
      <w:r>
        <w:rPr>
          <w:rFonts w:ascii="Times New Roman" w:hAnsi="Times New Roman" w:eastAsia="宋体" w:cs="Times New Roman"/>
          <w:b w:val="0"/>
          <w:i w:val="0"/>
          <w:sz w:val="21"/>
        </w:rPr>
        <w:t>把上述结论对回到「三维格网数据统一接入隐私计算体系」这一课题，可以给出三点判断。</w:t>
      </w:r>
    </w:p>
    <w:p w14:paraId="249B419C">
      <w:pPr>
        <w:spacing w:before="0" w:after="80" w:line="259" w:lineRule="auto"/>
      </w:pPr>
      <w:r>
        <w:rPr>
          <w:rFonts w:ascii="Times New Roman" w:hAnsi="Times New Roman" w:eastAsia="宋体" w:cs="Times New Roman"/>
          <w:b w:val="0"/>
          <w:i w:val="0"/>
          <w:sz w:val="21"/>
        </w:rPr>
        <w:t>第一，能力覆盖上是够</w:t>
      </w:r>
      <w:bookmarkStart w:id="0" w:name="_GoBack"/>
      <w:bookmarkEnd w:id="0"/>
      <w:r>
        <w:rPr>
          <w:rFonts w:ascii="Times New Roman" w:hAnsi="Times New Roman" w:eastAsia="宋体" w:cs="Times New Roman"/>
          <w:b w:val="0"/>
          <w:i w:val="0"/>
          <w:sz w:val="21"/>
        </w:rPr>
        <w:t>的。我们的密态判定需求可以拆成相等比较、位集统计、排序与选前 N 项、按格网分组聚合、以及若干阈值非线性函数五类。这五类在 SPU 中分别对应 equal、bitwise_count、sort 与 top_k、GroupByAgg、以及 minimax 近似的对数与三角类函数，均有现成实现或近期新增，不需要自研协议。</w:t>
      </w:r>
    </w:p>
    <w:p w14:paraId="0A3D12CA">
      <w:pPr>
        <w:spacing w:before="0" w:after="80" w:line="259" w:lineRule="auto"/>
      </w:pPr>
      <w:r>
        <w:rPr>
          <w:rFonts w:ascii="Times New Roman" w:hAnsi="Times New Roman" w:eastAsia="宋体" w:cs="Times New Roman"/>
          <w:b w:val="0"/>
          <w:i w:val="0"/>
          <w:sz w:val="21"/>
        </w:rPr>
        <w:t>第二，接口层面需要经由 SecretFlow 进入。SPU 官方明确其不面向直接使用，正常路径是由框架把它作为底层设备调用。因此我们与蚂蚁密算讨论接口时，界面的切分点应当是「向 SecretFlow 提交什么形态的密态输入与计算图」，而不是「如何直接调用 SPU」。这一点会直接影响我们那套统一时空数据层与引擎之间的接口约定该写在哪个粒度上。</w:t>
      </w:r>
    </w:p>
    <w:p w14:paraId="197B0C77">
      <w:pPr>
        <w:spacing w:before="0" w:after="80" w:line="259" w:lineRule="auto"/>
      </w:pPr>
      <w:r>
        <w:rPr>
          <w:rFonts w:ascii="Times New Roman" w:hAnsi="Times New Roman" w:eastAsia="宋体" w:cs="Times New Roman"/>
          <w:b w:val="0"/>
          <w:i w:val="0"/>
          <w:sz w:val="21"/>
        </w:rPr>
        <w:t>第三，验证环境需要提前确认。Windows 原生不支持，必须走 WSL2；GPU 加速仅在 Linux 与 WSL2 上且为实验状态。若我们的低空导航验证要在现有开发机上做，走 WSL2 是既定前提，且不宜把 GPU 加速写进性能预期。</w:t>
      </w:r>
    </w:p>
    <w:p w14:paraId="5FE29E06">
      <w:pPr>
        <w:keepNext/>
        <w:spacing w:before="180" w:after="80" w:line="252" w:lineRule="auto"/>
      </w:pPr>
      <w:r>
        <w:rPr>
          <w:rFonts w:ascii="Times New Roman" w:hAnsi="Times New Roman" w:eastAsia="宋体" w:cs="Times New Roman"/>
          <w:b/>
          <w:i w:val="0"/>
          <w:sz w:val="26"/>
        </w:rPr>
        <w:t>六　风险与建议</w:t>
      </w:r>
    </w:p>
    <w:p w14:paraId="6466786B">
      <w:pPr>
        <w:spacing w:before="0" w:after="80" w:line="259" w:lineRule="auto"/>
      </w:pPr>
      <w:r>
        <w:rPr>
          <w:rFonts w:ascii="Times New Roman" w:hAnsi="Times New Roman" w:eastAsia="宋体" w:cs="Times New Roman"/>
          <w:b w:val="0"/>
          <w:i w:val="0"/>
          <w:sz w:val="21"/>
        </w:rPr>
        <w:t>需要提示的主要风险是版本节奏。正式版本停留在 0.9.4，0.10.x 在开发态停留约九个月未收敛，公开仓库近五个月无实质功能提交。这带来一个现实问题：当我们的验证过程中遇到缺陷，依赖上游修复的等待周期不确定。相应的应对是把验证建立在正式发布版 0.9.4 之上，把 0.10.x 新增的分组聚合等能力作为待评估项而非前提条件。</w:t>
      </w:r>
    </w:p>
    <w:p w14:paraId="49BC0186">
      <w:pPr>
        <w:spacing w:before="0" w:after="80" w:line="259" w:lineRule="auto"/>
      </w:pPr>
      <w:r>
        <w:rPr>
          <w:rFonts w:ascii="Times New Roman" w:hAnsi="Times New Roman" w:eastAsia="宋体" w:cs="Times New Roman"/>
          <w:b w:val="0"/>
          <w:i w:val="0"/>
          <w:sz w:val="21"/>
        </w:rPr>
        <w:t>第二个风险是接口变更。0.10.x 开发期内发生了 IChannel 绑定新增与 custom_call 到 ffi_call 的迁移，这两项都属于接口层面的调整。若我们基于开发态构建，需要在接口约定中显式记录所依赖的版本与提交，避免后续联调时出现对不上的情况。</w:t>
      </w:r>
    </w:p>
    <w:p w14:paraId="57DB6CF4">
      <w:pPr>
        <w:spacing w:before="0" w:after="80" w:line="259" w:lineRule="auto"/>
      </w:pPr>
      <w:r>
        <w:rPr>
          <w:rFonts w:ascii="Times New Roman" w:hAnsi="Times New Roman" w:eastAsia="宋体" w:cs="Times New Roman"/>
          <w:b w:val="0"/>
          <w:i w:val="0"/>
          <w:sz w:val="21"/>
        </w:rPr>
        <w:t>基于以上，建议按三步推进。第一步，在 WSL2 环境下以 0.9.4 正式版搭起最小验证闭环，跑通「格网编码输入、密态相等比较、密态分组聚合、结果解密回填」这条最短链路，先确认工具链可用。第二步，用我们已有的格网样例数据实测五类算子的精度与开销，特别是截断取整误差对量化阈值判定的影响，这一点与 2026 年 4 月那次非对称截断修改直接相关，值得专门设一组对照。第三步，在上述实测基础上再与蚂蚁密算讨论接口约定，届时我们手里有的是实测数字而非文档转述，讨论的起点会明显更高。</w:t>
      </w:r>
    </w:p>
    <w:p w14:paraId="5BB10779">
      <w:pPr>
        <w:keepNext/>
        <w:spacing w:before="180" w:after="80" w:line="252" w:lineRule="auto"/>
      </w:pPr>
      <w:r>
        <w:rPr>
          <w:rFonts w:ascii="Times New Roman" w:hAnsi="Times New Roman" w:eastAsia="宋体" w:cs="Times New Roman"/>
          <w:b/>
          <w:i w:val="0"/>
          <w:sz w:val="26"/>
        </w:rPr>
        <w:t>附　信息来源与核查方式</w:t>
      </w:r>
    </w:p>
    <w:p w14:paraId="0A3673E7">
      <w:pPr>
        <w:spacing w:before="0" w:after="80" w:line="259" w:lineRule="auto"/>
      </w:pPr>
      <w:r>
        <w:rPr>
          <w:rFonts w:ascii="Times New Roman" w:hAnsi="Times New Roman" w:eastAsia="宋体" w:cs="Times New Roman"/>
          <w:b w:val="0"/>
          <w:i w:val="0"/>
          <w:sz w:val="21"/>
        </w:rPr>
        <w:t>本文所有事实性陈述均来自官方仓库 secretflow/spu 的公开内容，具体包括：主分支版本标记文件 version.bzl、变更日志 CHANGELOG.md、源码目录 src/libspu 及其下 compiler、core、cuda_support、device、dialect、kernel、mpc 各模块、mpc 目录下的六个协议族实现、仓库布局说明 REPO_LAYOUT.md、提交历史与 Releases 与 Pull requests 页面。核查时点为 2026 年 9 月 20 日。</w:t>
      </w:r>
    </w:p>
    <w:p w14:paraId="298C2DCA">
      <w:pPr>
        <w:spacing w:before="0" w:after="80" w:line="259" w:lineRule="auto"/>
      </w:pPr>
      <w:r>
        <w:rPr>
          <w:rFonts w:ascii="Times New Roman" w:hAnsi="Times New Roman" w:eastAsia="宋体" w:cs="Times New Roman"/>
          <w:b w:val="0"/>
          <w:i w:val="0"/>
          <w:sz w:val="21"/>
        </w:rPr>
        <w:t>需要说明两点局限。其一，本文未做任何实际部署与运行验证，因此关于性能取向的表述属机制层面的固有取舍，不构成实测结论；实际开销必须以本机实测为准。其二，提交活跃度反映的是公开仓库的可见活动，由于该项目的开源仓库存在周期性同步机制，不能据此推断内部研发状态。</w:t>
      </w:r>
    </w:p>
    <w:p w14:paraId="47971FA6">
      <w:pPr>
        <w:spacing w:before="0" w:after="80" w:line="259" w:lineRule="auto"/>
      </w:pPr>
      <w:r>
        <w:rPr>
          <w:rFonts w:ascii="Times New Roman" w:hAnsi="Times New Roman" w:eastAsia="宋体" w:cs="Times New Roman"/>
          <w:b w:val="0"/>
          <w:i w:val="0"/>
          <w:sz w:val="17"/>
        </w:rPr>
        <w:t>版本快照：0.10.0.dev20251211（开发态）｜最新正式发布：0.9.4（2025-09）｜主分支最近实质功能提交：2026-04-22</w:t>
      </w:r>
    </w:p>
    <w:sectPr>
      <w:pgSz w:w="11906" w:h="16838"/>
      <w:pgMar w:top="1247" w:right="1361"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6864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59"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5541</Words>
  <Characters>7154</Characters>
  <Lines>0</Lines>
  <Paragraphs>0</Paragraphs>
  <TotalTime>12</TotalTime>
  <ScaleCrop>false</ScaleCrop>
  <LinksUpToDate>false</LinksUpToDate>
  <CharactersWithSpaces>7619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hjd</cp:lastModifiedBy>
  <dcterms:modified xsi:type="dcterms:W3CDTF">2026-09-20T09:19:48Z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eyJoZGlkIjoiZjNiMDM0MmNlMDdhZDM4M2I3ZjdkNDVhOTM5ZTBhZjciLCJ1c2VySWQiOiI0MjI5NTk5MzMifQ==</vt:lpwstr>
  </property>
  <property fmtid="{D5CDD505-2E9C-101B-9397-08002B2CF9AE}" pid="3" name="KSOProductBuildVer">
    <vt:lpwstr>2052-12.1.0.28505</vt:lpwstr>
  </property>
  <property fmtid="{D5CDD505-2E9C-101B-9397-08002B2CF9AE}" pid="4" name="ICV">
    <vt:lpwstr>46A3CAAE4E5349BA8333EE3478010446_12</vt:lpwstr>
  </property>
</Properties>
</file>