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100" w:line="240" w:lineRule="auto"/>
      </w:pPr>
      <w:r>
        <w:rPr>
          <w:rFonts w:ascii="Times New Roman" w:hAnsi="Times New Roman" w:eastAsia="宋体" w:cs="Times New Roman"/>
          <w:b/>
          <w:i w:val="0"/>
          <w:color w:val="000000"/>
          <w:sz w:val="36"/>
        </w:rPr>
        <w:t>SPU 中 JAX 的使用情况解析</w:t>
      </w:r>
    </w:p>
    <w:p>
      <w:pPr>
        <w:spacing w:before="0" w:after="140" w:line="259" w:lineRule="auto"/>
      </w:pPr>
      <w:r>
        <w:rPr>
          <w:rFonts w:ascii="Times New Roman" w:hAnsi="Times New Roman" w:eastAsia="宋体" w:cs="Times New Roman"/>
          <w:b w:val="0"/>
          <w:i w:val="0"/>
          <w:sz w:val="27"/>
        </w:rPr>
        <w:t>从「格网数据接入隐私计算体系」视角看 JAX 在 SPU 中的五重角色</w:t>
      </w:r>
    </w:p>
    <w:p>
      <w:pPr>
        <w:spacing w:before="0" w:after="120" w:line="259" w:lineRule="auto"/>
      </w:pPr>
      <w:r>
        <w:rPr>
          <w:rFonts w:ascii="Times New Roman" w:hAnsi="Times New Roman" w:eastAsia="宋体" w:cs="Times New Roman"/>
          <w:b w:val="0"/>
          <w:i w:val="0"/>
          <w:sz w:val="21"/>
        </w:rPr>
        <w:t>本文解析蚂蚁隐语 SPU 中 JAX 的具体使用方式，回答的问题是：SPU 到底把 JAX 用在了哪些开发环节，每一处用法承担什么职责。信息来源为官方仓库 secretflow/spu 的公开内容，包括依赖声明 pyproject.toml、JAX 桥接模块 spu/utils/frontend.py、后端注册代码、自研 MLIR 方言目录 src/libspu/dialect/pphlo、Python 算子目录 spu/ops、以及按协议划分的 JAX 测试套件，均为可直接复核的一手材料。</w:t>
      </w:r>
    </w:p>
    <w:p>
      <w:pPr>
        <w:spacing w:before="0" w:after="120" w:line="259" w:lineRule="auto"/>
      </w:pPr>
      <w:r>
        <w:rPr>
          <w:rFonts w:ascii="Times New Roman" w:hAnsi="Times New Roman" w:eastAsia="宋体" w:cs="Times New Roman"/>
          <w:b w:val="0"/>
          <w:i w:val="0"/>
          <w:sz w:val="21"/>
        </w:rPr>
        <w:t>结论先行。JAX 在 SPU 中不是「一个被调用的库」，而是整个系统的前端契约与编译入口，同时扮演五种角色：依赖层面的强制运行时、张量语义层面的算子规范来源、编译层面的 HLO 生成器、追踪层面的执行机制依据、测试层面的跨协议验证基准。最关键的一处设计是 SPU 并不真跑 JAX 后端，而是注册一个优先级为负一百的「空壳后端」，借 JAX 的追踪与降级机制把函数导出成序列化 HLO，再把这份 HLO 交给自研编译器和 MPC 运行时执行。换言之，JAX 在这里被当作一台「前端编译器租用」而非计算引擎。这一设计对我们有直接价值，因为它意味着我们的格网运算只要能用 JAX 表达，就能被密态执行，不需要为每种算子单独写绑定。</w:t>
      </w:r>
    </w:p>
    <w:p>
      <w:pPr>
        <w:keepNext/>
        <w:spacing w:before="180" w:after="80" w:line="252" w:lineRule="auto"/>
      </w:pPr>
      <w:r>
        <w:rPr>
          <w:rFonts w:ascii="Times New Roman" w:hAnsi="Times New Roman" w:eastAsia="宋体" w:cs="Times New Roman"/>
          <w:b/>
          <w:i w:val="0"/>
          <w:sz w:val="26"/>
        </w:rPr>
        <w:t>一　依赖层面：强制且精确锁定的运行时</w:t>
      </w:r>
    </w:p>
    <w:p>
      <w:pPr>
        <w:spacing w:before="0" w:after="80" w:line="259" w:lineRule="auto"/>
      </w:pPr>
      <w:r>
        <w:rPr>
          <w:rFonts w:ascii="Times New Roman" w:hAnsi="Times New Roman" w:eastAsia="宋体" w:cs="Times New Roman"/>
          <w:b w:val="0"/>
          <w:i w:val="0"/>
          <w:sz w:val="21"/>
        </w:rPr>
        <w:t>第一处用法最直接，体现在依赖声明上。SPU 的 pyproject.toml 把 JAX 列为运行时依赖，而不是开发或示例依赖：jax[cpu] 精确锁定为 0.8.0，采用双等号锁定而非区间约束。与之配套的几条约束同样值得记录。NumPy 被提升到 2.0.0 以上，其注释明确写明这是为了兼容 JAX 0.8.0，并提醒 NumPy 2.0 带有若干破坏性变更。Python 最低版本提高到 3.11，支持 3.11 与 3.12。变更日志中把这次升级记作基础设施改动，同步把 Bazel 升到 7.7.1、包管理器改用 uv。</w:t>
      </w:r>
    </w:p>
    <w:p>
      <w:pPr>
        <w:spacing w:before="0" w:after="80" w:line="259" w:lineRule="auto"/>
      </w:pPr>
      <w:r>
        <w:rPr>
          <w:rFonts w:ascii="Times New Roman" w:hAnsi="Times New Roman" w:eastAsia="宋体" w:cs="Times New Roman"/>
          <w:b w:val="0"/>
          <w:i w:val="0"/>
          <w:sz w:val="21"/>
        </w:rPr>
        <w:t>这一处用法的含义是：JAX 在 SPU 里不是可选项。装 SPU 就必须装 JAX，且版本被钉死。对我们而言，这意味着如果验证环境里已有其他框架对 JAX 或 NumPy 版本有要求，会与 SPU 产生直接冲突，需要在环境规划阶段就排掉。</w:t>
      </w:r>
    </w:p>
    <w:p>
      <w:pPr>
        <w:spacing w:before="0" w:after="80" w:line="259" w:lineRule="auto"/>
      </w:pPr>
      <w:r>
        <w:rPr>
          <w:rFonts w:ascii="Times New Roman" w:hAnsi="Times New Roman" w:eastAsia="宋体" w:cs="Times New Roman"/>
          <w:b w:val="0"/>
          <w:i w:val="0"/>
          <w:sz w:val="21"/>
        </w:rPr>
        <w:t>另有一条边界需要单独指出，因为容易被误解。SPU 依赖的是 jax[cpu]，即 CPU 版本，而 SPU 自身的 GPU 支持属于实验特性，走的是 CUDA 路径且仅限 Linux 与 WSL2。因此 JAX 的 CPU 版本界定的是前端编译能力，不代表 SPU 的密态计算本身能借用 JAX 的 GPU 加速。把这两件事混为一谈会在做性能预期时出现偏差。</w:t>
      </w:r>
    </w:p>
    <w:p>
      <w:pPr>
        <w:keepNext/>
        <w:spacing w:before="180" w:after="80" w:line="252" w:lineRule="auto"/>
      </w:pPr>
      <w:r>
        <w:rPr>
          <w:rFonts w:ascii="Times New Roman" w:hAnsi="Times New Roman" w:eastAsia="宋体" w:cs="Times New Roman"/>
          <w:b/>
          <w:i w:val="0"/>
          <w:sz w:val="26"/>
        </w:rPr>
        <w:t>二　算子语义层面：以 JAX 为规范来源</w:t>
      </w:r>
    </w:p>
    <w:p>
      <w:pPr>
        <w:spacing w:before="0" w:after="80" w:line="259" w:lineRule="auto"/>
      </w:pPr>
      <w:r>
        <w:rPr>
          <w:rFonts w:ascii="Times New Roman" w:hAnsi="Times New Roman" w:eastAsia="宋体" w:cs="Times New Roman"/>
          <w:b w:val="0"/>
          <w:i w:val="0"/>
          <w:sz w:val="21"/>
        </w:rPr>
        <w:t>第二处用法是算子语义的定义基准。SPU 官方把自己的计算能力描述为「求值类 XLA 的张量运算」，而对使用者而言，这套张量运算的实际书写方式就是 JAX。这决定了 SPU 的算子覆盖面不是自己随意划定的，而是以 JAX 的算子集合为参照逐项补齐。</w:t>
      </w:r>
    </w:p>
    <w:p>
      <w:pPr>
        <w:spacing w:before="0" w:after="80" w:line="259" w:lineRule="auto"/>
      </w:pPr>
      <w:r>
        <w:rPr>
          <w:rFonts w:ascii="Times New Roman" w:hAnsi="Times New Roman" w:eastAsia="宋体" w:cs="Times New Roman"/>
          <w:b w:val="0"/>
          <w:i w:val="0"/>
          <w:sz w:val="21"/>
        </w:rPr>
        <w:t>这一层用法的结构可以从三处目录互相印证。其一是自研方言目录 src/libspu/dialect/pphlo，其下分为 IR 与 transforms 两部分，即中间表示的算子定义与变换规则，pphlo 这一命名本身即指「隐私保护高层算子」。其二是 Python 侧算子目录 spu/ops，其下已有独立的分组聚合子目录 groupby，与变更日志中新增 GroupByAgg 算子的记录相对应。其三是 spu/utils 下的 polyfill 与 simulation 两个模块，前者处理 JAX 算子语义的补齐，后者提供模拟执行路径。这三处合起来构成「JAX 算子语义 → 自研方言 → 协议原语」的逐级落地链条。</w:t>
      </w:r>
    </w:p>
    <w:p>
      <w:pPr>
        <w:spacing w:before="0" w:after="80" w:line="259" w:lineRule="auto"/>
      </w:pPr>
      <w:r>
        <w:rPr>
          <w:rFonts w:ascii="Times New Roman" w:hAnsi="Times New Roman" w:eastAsia="宋体" w:cs="Times New Roman"/>
          <w:b w:val="0"/>
          <w:i w:val="0"/>
          <w:sz w:val="21"/>
        </w:rPr>
        <w:t>从变更日志还可还原出一条清晰的算子补齐轨迹，可以直接看出哪些 JAX 能力是被逐个适配进来的。表中列出与我们业务最相关的若干条。</w:t>
      </w:r>
    </w:p>
    <w:p>
      <w:pPr>
        <w:keepNext/>
        <w:spacing w:before="100" w:after="40" w:line="252" w:lineRule="auto"/>
      </w:pPr>
      <w:r>
        <w:rPr>
          <w:rFonts w:ascii="Times New Roman" w:hAnsi="Times New Roman" w:eastAsia="宋体" w:cs="Times New Roman"/>
          <w:b/>
          <w:i w:val="0"/>
          <w:sz w:val="19"/>
        </w:rPr>
        <w:t>表 1　JAX 算子适配轨迹（与格网运算相关的部分）</w:t>
      </w:r>
    </w:p>
    <w:tbl>
      <w:tblPr>
        <w:tblStyle w:val="TableGrid"/>
        <w:jc w:val="center"/>
        <w:tblLook w:firstColumn="1" w:firstRow="1" w:lastColumn="0" w:lastRow="0" w:noHBand="0" w:noVBand="1" w:val="04A0"/>
        <w:tblLayout w:type="fixed"/>
        <w:tblCellMar>
          <w:top w:w="28" w:type="dxa"/>
          <w:left w:w="120" w:type="dxa"/>
          <w:bottom w:w="28" w:type="dxa"/>
          <w:right w:w="120" w:type="dxa"/>
        </w:tblCellMar>
        <w:tblW w:w="9184" w:type="dxa"/>
        <w:tblInd w:w="120" w:type="dxa"/>
      </w:tblPr>
      <w:tblGrid>
        <w:gridCol w:w="3000"/>
        <w:gridCol w:w="2100"/>
        <w:gridCol w:w="4084"/>
      </w:tblGrid>
      <w:tr>
        <w:trPr>
          <w:tblHeader/>
        </w:trPr>
        <w:tc>
          <w:tcPr>
            <w:tcW w:type="dxa" w:w="3000"/>
            <w:shd w:val="clear" w:color="auto" w:fill="2F4858"/>
          </w:tcPr>
          <w:p>
            <w:pPr>
              <w:spacing w:before="0" w:after="20" w:line="245" w:lineRule="auto"/>
            </w:pPr>
            <w:r/>
            <w:r>
              <w:rPr>
                <w:rFonts w:ascii="Times New Roman" w:hAnsi="Times New Roman" w:eastAsia="宋体" w:cs="Times New Roman"/>
                <w:b/>
                <w:i w:val="0"/>
                <w:color w:val="FFFFFF"/>
                <w:sz w:val="18"/>
              </w:rPr>
              <w:t>JAX 侧能力</w:t>
            </w:r>
          </w:p>
        </w:tc>
        <w:tc>
          <w:tcPr>
            <w:tcW w:type="dxa" w:w="2100"/>
            <w:shd w:val="clear" w:color="auto" w:fill="2F4858"/>
          </w:tcPr>
          <w:p>
            <w:pPr>
              <w:spacing w:before="0" w:after="20" w:line="245" w:lineRule="auto"/>
            </w:pPr>
            <w:r/>
            <w:r>
              <w:rPr>
                <w:rFonts w:ascii="Times New Roman" w:hAnsi="Times New Roman" w:eastAsia="宋体" w:cs="Times New Roman"/>
                <w:b/>
                <w:i w:val="0"/>
                <w:color w:val="FFFFFF"/>
                <w:sz w:val="18"/>
              </w:rPr>
              <w:t>适配时间</w:t>
            </w:r>
          </w:p>
        </w:tc>
        <w:tc>
          <w:tcPr>
            <w:tcW w:type="dxa" w:w="4084"/>
            <w:shd w:val="clear" w:color="auto" w:fill="2F4858"/>
          </w:tcPr>
          <w:p>
            <w:pPr>
              <w:spacing w:before="0" w:after="20" w:line="245" w:lineRule="auto"/>
            </w:pPr>
            <w:r/>
            <w:r>
              <w:rPr>
                <w:rFonts w:ascii="Times New Roman" w:hAnsi="Times New Roman" w:eastAsia="宋体" w:cs="Times New Roman"/>
                <w:b/>
                <w:i w:val="0"/>
                <w:color w:val="FFFFFF"/>
                <w:sz w:val="18"/>
              </w:rPr>
              <w:t>在格网场景中的对应用途</w:t>
            </w:r>
          </w:p>
        </w:tc>
      </w:tr>
      <w:tr>
        <w:tc>
          <w:tcPr>
            <w:tcW w:type="dxa" w:w="3000"/>
          </w:tcPr>
          <w:p>
            <w:pPr>
              <w:spacing w:before="0" w:after="20" w:line="245" w:lineRule="auto"/>
            </w:pPr>
            <w:r/>
            <w:r>
              <w:rPr>
                <w:rFonts w:ascii="Times New Roman" w:hAnsi="Times New Roman" w:eastAsia="宋体" w:cs="Times New Roman"/>
                <w:b/>
                <w:i w:val="0"/>
                <w:sz w:val="18"/>
              </w:rPr>
              <w:t>jax.numpy.bitwise_count</w:t>
            </w:r>
          </w:p>
        </w:tc>
        <w:tc>
          <w:tcPr>
            <w:tcW w:type="dxa" w:w="2100"/>
          </w:tcPr>
          <w:p>
            <w:pPr>
              <w:spacing w:before="0" w:after="20" w:line="245" w:lineRule="auto"/>
            </w:pPr>
            <w:r/>
            <w:r>
              <w:rPr>
                <w:rFonts w:ascii="Times New Roman" w:hAnsi="Times New Roman" w:eastAsia="宋体" w:cs="Times New Roman"/>
                <w:b w:val="0"/>
                <w:i w:val="0"/>
                <w:sz w:val="18"/>
              </w:rPr>
              <w:t>2024-07-16</w:t>
            </w:r>
          </w:p>
        </w:tc>
        <w:tc>
          <w:tcPr>
            <w:tcW w:type="dxa" w:w="4084"/>
          </w:tcPr>
          <w:p>
            <w:pPr>
              <w:spacing w:before="0" w:after="20" w:line="245" w:lineRule="auto"/>
            </w:pPr>
            <w:r/>
            <w:r>
              <w:rPr>
                <w:rFonts w:ascii="Times New Roman" w:hAnsi="Times New Roman" w:eastAsia="宋体" w:cs="Times New Roman"/>
                <w:b w:val="0"/>
                <w:i w:val="0"/>
                <w:sz w:val="18"/>
              </w:rPr>
              <w:t>密态按位统计，对应 rel_bitset 位集的密态计数</w:t>
            </w:r>
          </w:p>
        </w:tc>
      </w:tr>
      <w:tr>
        <w:tc>
          <w:tcPr>
            <w:tcW w:type="dxa" w:w="3000"/>
            <w:shd w:val="clear" w:color="auto" w:fill="F2F4F6"/>
          </w:tcPr>
          <w:p>
            <w:pPr>
              <w:spacing w:before="0" w:after="20" w:line="245" w:lineRule="auto"/>
            </w:pPr>
            <w:r/>
            <w:r>
              <w:rPr>
                <w:rFonts w:ascii="Times New Roman" w:hAnsi="Times New Roman" w:eastAsia="宋体" w:cs="Times New Roman"/>
                <w:b/>
                <w:i w:val="0"/>
                <w:sz w:val="18"/>
              </w:rPr>
              <w:t>等值比较运算</w:t>
            </w:r>
          </w:p>
        </w:tc>
        <w:tc>
          <w:tcPr>
            <w:tcW w:type="dxa" w:w="2100"/>
            <w:shd w:val="clear" w:color="auto" w:fill="F2F4F6"/>
          </w:tcPr>
          <w:p>
            <w:pPr>
              <w:spacing w:before="0" w:after="20" w:line="245" w:lineRule="auto"/>
            </w:pPr>
            <w:r/>
            <w:r>
              <w:rPr>
                <w:rFonts w:ascii="Times New Roman" w:hAnsi="Times New Roman" w:eastAsia="宋体" w:cs="Times New Roman"/>
                <w:b w:val="0"/>
                <w:i w:val="0"/>
                <w:sz w:val="18"/>
              </w:rPr>
              <w:t>2024-01-05</w:t>
            </w:r>
          </w:p>
        </w:tc>
        <w:tc>
          <w:tcPr>
            <w:tcW w:type="dxa" w:w="4084"/>
            <w:shd w:val="clear" w:color="auto" w:fill="F2F4F6"/>
          </w:tcPr>
          <w:p>
            <w:pPr>
              <w:spacing w:before="0" w:after="20" w:line="245" w:lineRule="auto"/>
            </w:pPr>
            <w:r/>
            <w:r>
              <w:rPr>
                <w:rFonts w:ascii="Times New Roman" w:hAnsi="Times New Roman" w:eastAsia="宋体" w:cs="Times New Roman"/>
                <w:b w:val="0"/>
                <w:i w:val="0"/>
                <w:sz w:val="18"/>
              </w:rPr>
              <w:t>密态相等判定，是格网编码匹配的基础原语</w:t>
            </w:r>
          </w:p>
        </w:tc>
      </w:tr>
      <w:tr>
        <w:tc>
          <w:tcPr>
            <w:tcW w:type="dxa" w:w="3000"/>
          </w:tcPr>
          <w:p>
            <w:pPr>
              <w:spacing w:before="0" w:after="20" w:line="245" w:lineRule="auto"/>
            </w:pPr>
            <w:r/>
            <w:r>
              <w:rPr>
                <w:rFonts w:ascii="Times New Roman" w:hAnsi="Times New Roman" w:eastAsia="宋体" w:cs="Times New Roman"/>
                <w:b/>
                <w:i w:val="0"/>
                <w:sz w:val="18"/>
              </w:rPr>
              <w:t>jax.lax.top_k</w:t>
            </w:r>
          </w:p>
        </w:tc>
        <w:tc>
          <w:tcPr>
            <w:tcW w:type="dxa" w:w="2100"/>
          </w:tcPr>
          <w:p>
            <w:pPr>
              <w:spacing w:before="0" w:after="20" w:line="245" w:lineRule="auto"/>
            </w:pPr>
            <w:r/>
            <w:r>
              <w:rPr>
                <w:rFonts w:ascii="Times New Roman" w:hAnsi="Times New Roman" w:eastAsia="宋体" w:cs="Times New Roman"/>
                <w:b w:val="0"/>
                <w:i w:val="0"/>
                <w:sz w:val="18"/>
              </w:rPr>
              <w:t>2024-04-15</w:t>
            </w:r>
          </w:p>
        </w:tc>
        <w:tc>
          <w:tcPr>
            <w:tcW w:type="dxa" w:w="4084"/>
          </w:tcPr>
          <w:p>
            <w:pPr>
              <w:spacing w:before="0" w:after="20" w:line="245" w:lineRule="auto"/>
            </w:pPr>
            <w:r/>
            <w:r>
              <w:rPr>
                <w:rFonts w:ascii="Times New Roman" w:hAnsi="Times New Roman" w:eastAsia="宋体" w:cs="Times New Roman"/>
                <w:b w:val="0"/>
                <w:i w:val="0"/>
                <w:sz w:val="18"/>
              </w:rPr>
              <w:t>密态选前 N 项，对应选址场景的排序筛选</w:t>
            </w:r>
          </w:p>
        </w:tc>
      </w:tr>
      <w:tr>
        <w:tc>
          <w:tcPr>
            <w:tcW w:type="dxa" w:w="3000"/>
            <w:shd w:val="clear" w:color="auto" w:fill="F2F4F6"/>
          </w:tcPr>
          <w:p>
            <w:pPr>
              <w:spacing w:before="0" w:after="20" w:line="245" w:lineRule="auto"/>
            </w:pPr>
            <w:r/>
            <w:r>
              <w:rPr>
                <w:rFonts w:ascii="Times New Roman" w:hAnsi="Times New Roman" w:eastAsia="宋体" w:cs="Times New Roman"/>
                <w:b/>
                <w:i w:val="0"/>
                <w:sz w:val="18"/>
              </w:rPr>
              <w:t>round to nearest even</w:t>
            </w:r>
          </w:p>
          <w:p>
            <w:pPr>
              <w:spacing w:before="0" w:after="20" w:line="245" w:lineRule="auto"/>
            </w:pPr>
            <w:r>
              <w:rPr>
                <w:rFonts w:ascii="Times New Roman" w:hAnsi="Times New Roman" w:eastAsia="宋体" w:cs="Times New Roman"/>
                <w:b w:val="0"/>
                <w:i w:val="0"/>
                <w:color w:val="555555"/>
                <w:sz w:val="17"/>
              </w:rPr>
              <w:t>（四舍六入五成双）</w:t>
            </w:r>
          </w:p>
        </w:tc>
        <w:tc>
          <w:tcPr>
            <w:tcW w:type="dxa" w:w="2100"/>
            <w:shd w:val="clear" w:color="auto" w:fill="F2F4F6"/>
          </w:tcPr>
          <w:p>
            <w:pPr>
              <w:spacing w:before="0" w:after="20" w:line="245" w:lineRule="auto"/>
            </w:pPr>
            <w:r/>
            <w:r>
              <w:rPr>
                <w:rFonts w:ascii="Times New Roman" w:hAnsi="Times New Roman" w:eastAsia="宋体" w:cs="Times New Roman"/>
                <w:b w:val="0"/>
                <w:i w:val="0"/>
                <w:sz w:val="18"/>
              </w:rPr>
              <w:t>2024-04-15</w:t>
            </w:r>
          </w:p>
        </w:tc>
        <w:tc>
          <w:tcPr>
            <w:tcW w:type="dxa" w:w="4084"/>
            <w:shd w:val="clear" w:color="auto" w:fill="F2F4F6"/>
          </w:tcPr>
          <w:p>
            <w:pPr>
              <w:spacing w:before="0" w:after="20" w:line="245" w:lineRule="auto"/>
            </w:pPr>
            <w:r/>
            <w:r>
              <w:rPr>
                <w:rFonts w:ascii="Times New Roman" w:hAnsi="Times New Roman" w:eastAsia="宋体" w:cs="Times New Roman"/>
                <w:b w:val="0"/>
                <w:i w:val="0"/>
                <w:sz w:val="18"/>
              </w:rPr>
              <w:t>取整语义对齐，直接影响量化结果的一致性</w:t>
            </w:r>
          </w:p>
        </w:tc>
      </w:tr>
      <w:tr>
        <w:tc>
          <w:tcPr>
            <w:tcW w:type="dxa" w:w="3000"/>
          </w:tcPr>
          <w:p>
            <w:pPr>
              <w:spacing w:before="0" w:after="20" w:line="245" w:lineRule="auto"/>
            </w:pPr>
            <w:r/>
            <w:r>
              <w:rPr>
                <w:rFonts w:ascii="Times New Roman" w:hAnsi="Times New Roman" w:eastAsia="宋体" w:cs="Times New Roman"/>
                <w:b/>
                <w:i w:val="0"/>
                <w:sz w:val="18"/>
              </w:rPr>
              <w:t>jax.numpy.signbit</w:t>
            </w:r>
          </w:p>
        </w:tc>
        <w:tc>
          <w:tcPr>
            <w:tcW w:type="dxa" w:w="2100"/>
          </w:tcPr>
          <w:p>
            <w:pPr>
              <w:spacing w:before="0" w:after="20" w:line="245" w:lineRule="auto"/>
            </w:pPr>
            <w:r/>
            <w:r>
              <w:rPr>
                <w:rFonts w:ascii="Times New Roman" w:hAnsi="Times New Roman" w:eastAsia="宋体" w:cs="Times New Roman"/>
                <w:b w:val="0"/>
                <w:i w:val="0"/>
                <w:sz w:val="18"/>
              </w:rPr>
              <w:t>2024-07-16</w:t>
            </w:r>
          </w:p>
          <w:p>
            <w:pPr>
              <w:spacing w:before="0" w:after="20" w:line="245" w:lineRule="auto"/>
            </w:pPr>
            <w:r>
              <w:rPr>
                <w:rFonts w:ascii="Times New Roman" w:hAnsi="Times New Roman" w:eastAsia="宋体" w:cs="Times New Roman"/>
                <w:b w:val="0"/>
                <w:i w:val="0"/>
                <w:color w:val="555555"/>
                <w:sz w:val="17"/>
              </w:rPr>
              <w:t>同期修复大输入下的错误结果</w:t>
            </w:r>
          </w:p>
        </w:tc>
        <w:tc>
          <w:tcPr>
            <w:tcW w:type="dxa" w:w="4084"/>
          </w:tcPr>
          <w:p>
            <w:pPr>
              <w:spacing w:before="0" w:after="20" w:line="245" w:lineRule="auto"/>
            </w:pPr>
            <w:r/>
            <w:r>
              <w:rPr>
                <w:rFonts w:ascii="Times New Roman" w:hAnsi="Times New Roman" w:eastAsia="宋体" w:cs="Times New Roman"/>
                <w:b w:val="0"/>
                <w:i w:val="0"/>
                <w:sz w:val="18"/>
              </w:rPr>
              <w:t>密态符号位判定</w:t>
            </w:r>
          </w:p>
        </w:tc>
      </w:tr>
      <w:tr>
        <w:tc>
          <w:tcPr>
            <w:tcW w:type="dxa" w:w="3000"/>
            <w:shd w:val="clear" w:color="auto" w:fill="F2F4F6"/>
          </w:tcPr>
          <w:p>
            <w:pPr>
              <w:spacing w:before="0" w:after="20" w:line="245" w:lineRule="auto"/>
            </w:pPr>
            <w:r/>
            <w:r>
              <w:rPr>
                <w:rFonts w:ascii="Times New Roman" w:hAnsi="Times New Roman" w:eastAsia="宋体" w:cs="Times New Roman"/>
                <w:b/>
                <w:i w:val="0"/>
                <w:sz w:val="18"/>
              </w:rPr>
              <w:t>Permute / InvPermute</w:t>
            </w:r>
          </w:p>
        </w:tc>
        <w:tc>
          <w:tcPr>
            <w:tcW w:type="dxa" w:w="2100"/>
            <w:shd w:val="clear" w:color="auto" w:fill="F2F4F6"/>
          </w:tcPr>
          <w:p>
            <w:pPr>
              <w:spacing w:before="0" w:after="20" w:line="245" w:lineRule="auto"/>
            </w:pPr>
            <w:r/>
            <w:r>
              <w:rPr>
                <w:rFonts w:ascii="Times New Roman" w:hAnsi="Times New Roman" w:eastAsia="宋体" w:cs="Times New Roman"/>
                <w:b w:val="0"/>
                <w:i w:val="0"/>
                <w:sz w:val="18"/>
              </w:rPr>
              <w:t>0.9.4</w:t>
            </w:r>
          </w:p>
        </w:tc>
        <w:tc>
          <w:tcPr>
            <w:tcW w:type="dxa" w:w="4084"/>
            <w:shd w:val="clear" w:color="auto" w:fill="F2F4F6"/>
          </w:tcPr>
          <w:p>
            <w:pPr>
              <w:spacing w:before="0" w:after="20" w:line="245" w:lineRule="auto"/>
            </w:pPr>
            <w:r/>
            <w:r>
              <w:rPr>
                <w:rFonts w:ascii="Times New Roman" w:hAnsi="Times New Roman" w:eastAsia="宋体" w:cs="Times New Roman"/>
                <w:b w:val="0"/>
                <w:i w:val="0"/>
                <w:sz w:val="18"/>
              </w:rPr>
              <w:t>密态置换与逆置换，可用于打乱或复原格网次序</w:t>
            </w:r>
          </w:p>
        </w:tc>
      </w:tr>
      <w:tr>
        <w:tc>
          <w:tcPr>
            <w:tcW w:type="dxa" w:w="3000"/>
          </w:tcPr>
          <w:p>
            <w:pPr>
              <w:spacing w:before="0" w:after="20" w:line="245" w:lineRule="auto"/>
            </w:pPr>
            <w:r/>
            <w:r>
              <w:rPr>
                <w:rFonts w:ascii="Times New Roman" w:hAnsi="Times New Roman" w:eastAsia="宋体" w:cs="Times New Roman"/>
                <w:b/>
                <w:i w:val="0"/>
                <w:sz w:val="18"/>
              </w:rPr>
              <w:t>GroupByAgg</w:t>
            </w:r>
          </w:p>
        </w:tc>
        <w:tc>
          <w:tcPr>
            <w:tcW w:type="dxa" w:w="2100"/>
          </w:tcPr>
          <w:p>
            <w:pPr>
              <w:spacing w:before="0" w:after="20" w:line="245" w:lineRule="auto"/>
            </w:pPr>
            <w:r/>
            <w:r>
              <w:rPr>
                <w:rFonts w:ascii="Times New Roman" w:hAnsi="Times New Roman" w:eastAsia="宋体" w:cs="Times New Roman"/>
                <w:b w:val="0"/>
                <w:i w:val="0"/>
                <w:sz w:val="18"/>
              </w:rPr>
              <w:t>2025-12-08</w:t>
            </w:r>
          </w:p>
        </w:tc>
        <w:tc>
          <w:tcPr>
            <w:tcW w:type="dxa" w:w="4084"/>
          </w:tcPr>
          <w:p>
            <w:pPr>
              <w:spacing w:before="0" w:after="20" w:line="245" w:lineRule="auto"/>
            </w:pPr>
            <w:r/>
            <w:r>
              <w:rPr>
                <w:rFonts w:ascii="Times New Roman" w:hAnsi="Times New Roman" w:eastAsia="宋体" w:cs="Times New Roman"/>
                <w:b w:val="0"/>
                <w:i w:val="0"/>
                <w:sz w:val="18"/>
              </w:rPr>
              <w:t>按格网聚合并输出统计量，最贴近业务形态的算子</w:t>
            </w:r>
          </w:p>
        </w:tc>
      </w:tr>
      <w:tr>
        <w:tc>
          <w:tcPr>
            <w:tcW w:type="dxa" w:w="3000"/>
            <w:shd w:val="clear" w:color="auto" w:fill="F2F4F6"/>
          </w:tcPr>
          <w:p>
            <w:pPr>
              <w:spacing w:before="0" w:after="20" w:line="245" w:lineRule="auto"/>
            </w:pPr>
            <w:r/>
            <w:r>
              <w:rPr>
                <w:rFonts w:ascii="Times New Roman" w:hAnsi="Times New Roman" w:eastAsia="宋体" w:cs="Times New Roman"/>
                <w:b/>
                <w:i w:val="0"/>
                <w:sz w:val="18"/>
              </w:rPr>
              <w:t>Jax 64 位模式支持</w:t>
            </w:r>
          </w:p>
        </w:tc>
        <w:tc>
          <w:tcPr>
            <w:tcW w:type="dxa" w:w="2100"/>
            <w:shd w:val="clear" w:color="auto" w:fill="F2F4F6"/>
          </w:tcPr>
          <w:p>
            <w:pPr>
              <w:spacing w:before="0" w:after="20" w:line="245" w:lineRule="auto"/>
            </w:pPr>
            <w:r/>
            <w:r>
              <w:rPr>
                <w:rFonts w:ascii="Times New Roman" w:hAnsi="Times New Roman" w:eastAsia="宋体" w:cs="Times New Roman"/>
                <w:b w:val="0"/>
                <w:i w:val="0"/>
                <w:sz w:val="18"/>
              </w:rPr>
              <w:t>0.4.0 前后持续改进</w:t>
            </w:r>
          </w:p>
        </w:tc>
        <w:tc>
          <w:tcPr>
            <w:tcW w:type="dxa" w:w="4084"/>
            <w:shd w:val="clear" w:color="auto" w:fill="F2F4F6"/>
          </w:tcPr>
          <w:p>
            <w:pPr>
              <w:spacing w:before="0" w:after="20" w:line="245" w:lineRule="auto"/>
            </w:pPr>
            <w:r/>
            <w:r>
              <w:rPr>
                <w:rFonts w:ascii="Times New Roman" w:hAnsi="Times New Roman" w:eastAsia="宋体" w:cs="Times New Roman"/>
                <w:b w:val="0"/>
                <w:i w:val="0"/>
                <w:sz w:val="18"/>
              </w:rPr>
              <w:t>大整数编码下的精度保障</w:t>
            </w:r>
          </w:p>
        </w:tc>
      </w:tr>
    </w:tbl>
    <w:p>
      <w:pPr>
        <w:spacing w:before="0" w:after="80" w:line="259" w:lineRule="auto"/>
      </w:pPr>
      <w:r>
        <w:rPr>
          <w:rFonts w:ascii="Times New Roman" w:hAnsi="Times New Roman" w:eastAsia="宋体" w:cs="Times New Roman"/>
          <w:b w:val="0"/>
          <w:i w:val="0"/>
          <w:sz w:val="17"/>
        </w:rPr>
        <w:t>注：表中时间与内容取自仓库 CHANGELOG.md 各版本条目的归纳；「对应用途」列为结合本课题场景的解读，非官方表述。</w:t>
      </w:r>
    </w:p>
    <w:p>
      <w:pPr>
        <w:spacing w:before="0" w:after="80" w:line="259" w:lineRule="auto"/>
      </w:pPr>
      <w:r>
        <w:rPr>
          <w:rFonts w:ascii="Times New Roman" w:hAnsi="Times New Roman" w:eastAsia="宋体" w:cs="Times New Roman"/>
          <w:b w:val="0"/>
          <w:i w:val="0"/>
          <w:sz w:val="21"/>
        </w:rPr>
        <w:t>这张表里有两项与我们的接入层口径直接相关，值得单独指出。一是取整语义那一行：SPU 专门适配了「四舍六入五成双」，而我们在口径勘误中恰好发现过取整规则未写死的问题（0.70 乘 255 等于 178.5，半进则为 179、银行家取整则为 178）。SPU 明确采用银行家取整这一事实，意味着我们的量化字典在密态侧落地时，明文侧必须采用同一规则，否则两端会对不上。二是位计数那一行：rel_bitset 的密态位集统计此前在我们的方案里只是一个设想，而 SPU 已有 bitwise_count 的现成实现，这条路径是被打通的。</w:t>
      </w:r>
    </w:p>
    <w:p>
      <w:pPr>
        <w:keepNext/>
        <w:spacing w:before="180" w:after="80" w:line="252" w:lineRule="auto"/>
      </w:pPr>
      <w:r>
        <w:rPr>
          <w:rFonts w:ascii="Times New Roman" w:hAnsi="Times New Roman" w:eastAsia="宋体" w:cs="Times New Roman"/>
          <w:b/>
          <w:i w:val="0"/>
          <w:sz w:val="26"/>
        </w:rPr>
        <w:t>三　编译层面：借 JAX 生成 HLO 的桥接设计</w:t>
      </w:r>
    </w:p>
    <w:p>
      <w:pPr>
        <w:spacing w:before="0" w:after="80" w:line="259" w:lineRule="auto"/>
      </w:pPr>
      <w:r>
        <w:rPr>
          <w:rFonts w:ascii="Times New Roman" w:hAnsi="Times New Roman" w:eastAsia="宋体" w:cs="Times New Roman"/>
          <w:b w:val="0"/>
          <w:i w:val="0"/>
          <w:sz w:val="21"/>
        </w:rPr>
        <w:t>第三处用法是 JAX 在 SPU 中最重要的角色，也是理解整个系统架构的关键。承接这一职责的模块是 spu/utils/frontend.py，文件规模 315 行、约 9.29 KB，核心函数为 _jax_compilation。其做法可以逐步拆解。</w:t>
      </w:r>
    </w:p>
    <w:p>
      <w:pPr>
        <w:spacing w:before="0" w:after="80" w:line="259" w:lineRule="auto"/>
      </w:pPr>
      <w:r>
        <w:rPr>
          <w:rFonts w:ascii="Times New Roman" w:hAnsi="Times New Roman" w:eastAsia="宋体" w:cs="Times New Roman"/>
          <w:b w:val="0"/>
          <w:i w:val="0"/>
          <w:sz w:val="21"/>
        </w:rPr>
        <w:t>第一步是注册一个占位后端。代码从 JAX 内部模块 jax._src.xla_bridge 导入后端注册设施，在加锁状态下检查名为 interpreter 的后端是否已存在；若不存在，则以优先级负一百注册一个名为 interpreter 的后端，而注册所用的类是从 jax.interpreters.xla 导入的后端基类本身。这个后端的实质作用是「不执行」，它只提供一个可供降级的目标平台，本身并不做任何真实计算。</w:t>
      </w:r>
    </w:p>
    <w:p>
      <w:pPr>
        <w:spacing w:before="0" w:after="80" w:line="259" w:lineRule="auto"/>
      </w:pPr>
      <w:r>
        <w:rPr>
          <w:rFonts w:ascii="Times New Roman" w:hAnsi="Times New Roman" w:eastAsia="宋体" w:cs="Times New Roman"/>
          <w:b w:val="0"/>
          <w:i w:val="0"/>
          <w:sz w:val="21"/>
        </w:rPr>
        <w:t>第二步是借道 JAX 的追踪与降级。函数先把用户函数用 jax.jit 包装，传入静态参数位置与静态参数名，并开启保留未使用参数的选项；随后调用 trace 取得追踪结果，再调用 lower 并指定降级平台为刚注册的 interpreter。这一步的产出不是执行结果，而是一份编译器中间表示。</w:t>
      </w:r>
    </w:p>
    <w:p>
      <w:pPr>
        <w:spacing w:before="0" w:after="80" w:line="259" w:lineRule="auto"/>
      </w:pPr>
      <w:r>
        <w:rPr>
          <w:rFonts w:ascii="Times New Roman" w:hAnsi="Times New Roman" w:eastAsia="宋体" w:cs="Times New Roman"/>
          <w:b w:val="0"/>
          <w:i w:val="0"/>
          <w:sz w:val="21"/>
        </w:rPr>
        <w:t>第三步是导出序列化 HLO。代码在降级结果上调用 compiler_ir 并取平台为 hlo，再调用 as_serialized_hlo_module_proto，把中间表示序列化为 HLO 模块的协议缓冲字节流，连同输出元信息一起返回。这份字节流随后被交给 SPU 的自研编译器与 MPC 运行时。</w:t>
      </w:r>
    </w:p>
    <w:p>
      <w:pPr>
        <w:spacing w:before="0" w:after="80" w:line="259" w:lineRule="auto"/>
      </w:pPr>
      <w:r>
        <w:rPr>
          <w:rFonts w:ascii="Times New Roman" w:hAnsi="Times New Roman" w:eastAsia="宋体" w:cs="Times New Roman"/>
          <w:b w:val="0"/>
          <w:i w:val="0"/>
          <w:sz w:val="21"/>
        </w:rPr>
        <w:t>这四处设计合起来说明，JAX 在 SPU 中承担的是前端编译器的角色：使用者按 JAX 的算子语义书写计算逻辑，SPU 借 JAX 自带的追踪、降级与 HLO 导出能力，把这份逻辑转换成一份与具体执行平台无关的中间表示，再由自己接管后续的密态化与协议执行。这种「租用前端、自研后端」的做法是很经济的设计，既不必自建一套张量前端语法，又能把优化与协议适配完全掌握在自己手里。</w:t>
      </w:r>
    </w:p>
    <w:p>
      <w:pPr>
        <w:spacing w:before="0" w:after="80" w:line="259" w:lineRule="auto"/>
      </w:pPr>
      <w:r>
        <w:rPr>
          <w:rFonts w:ascii="Times New Roman" w:hAnsi="Times New Roman" w:eastAsia="宋体" w:cs="Times New Roman"/>
          <w:b w:val="0"/>
          <w:i w:val="0"/>
          <w:sz w:val="21"/>
        </w:rPr>
        <w:t>这里需要如实指出一个观察，因为它对稳定性评估有意义。代码中有一行被注释掉的缓存装饰器，原本打算给 _jax_compilation 加上容量一百二十八的 LRU 缓存，并在上方留有「需找出合适的 lambda 哈希方式」的待办注释。同时另有一个哈希键构造函数 _jax_compilation_key，会把函数对象、函数内容、参数的类型与形状、以及树结构一并纳入哈希。这说明编译产物缓存是被认真设计的，但当前处于未启用状态，用它时需要留意重复编译的开销。</w:t>
      </w:r>
    </w:p>
    <w:p>
      <w:pPr>
        <w:spacing w:before="0" w:after="80" w:line="259" w:lineRule="auto"/>
      </w:pPr>
      <w:r>
        <w:rPr>
          <w:rFonts w:ascii="Times New Roman" w:hAnsi="Times New Roman" w:eastAsia="宋体" w:cs="Times New Roman"/>
          <w:b w:val="0"/>
          <w:i w:val="0"/>
          <w:sz w:val="21"/>
        </w:rPr>
        <w:t>另有一处工程细节值得记录。文件中对 JAX 内部模块的引用带有明确标注，例如 linear_util 的 wrap_init 处注明「在 jax 0.4.16 中位置发生迁移」。这说明 SPU 与 JAX 的耦合已经深入到内部实现层面而非仅使用公开接口，外部表现就是每次 JAX 大版本升级都可能牵动 SPU 的适配工作。这解释了为什么依赖版本被双等号钉死，也解释了 0.10.x 开发期为何要专门做一次 Jax 0.8.0 迁移。</w:t>
      </w:r>
    </w:p>
    <w:p>
      <w:pPr>
        <w:keepNext/>
        <w:spacing w:before="180" w:after="80" w:line="252" w:lineRule="auto"/>
      </w:pPr>
      <w:r>
        <w:rPr>
          <w:rFonts w:ascii="Times New Roman" w:hAnsi="Times New Roman" w:eastAsia="宋体" w:cs="Times New Roman"/>
          <w:b/>
          <w:i w:val="0"/>
          <w:sz w:val="26"/>
        </w:rPr>
        <w:t>四　追踪与工程层面：执行机制与前端补丁</w:t>
      </w:r>
    </w:p>
    <w:p>
      <w:pPr>
        <w:spacing w:before="0" w:after="80" w:line="259" w:lineRule="auto"/>
      </w:pPr>
      <w:r>
        <w:rPr>
          <w:rFonts w:ascii="Times New Roman" w:hAnsi="Times New Roman" w:eastAsia="宋体" w:cs="Times New Roman"/>
          <w:b w:val="0"/>
          <w:i w:val="0"/>
          <w:sz w:val="21"/>
        </w:rPr>
        <w:t>第四处用法体现在两件事上，一是执行机制依据，二是前端行为修补。</w:t>
      </w:r>
    </w:p>
    <w:p>
      <w:pPr>
        <w:spacing w:before="0" w:after="80" w:line="259" w:lineRule="auto"/>
      </w:pPr>
      <w:r>
        <w:rPr>
          <w:rFonts w:ascii="Times New Roman" w:hAnsi="Times New Roman" w:eastAsia="宋体" w:cs="Times New Roman"/>
          <w:b w:val="0"/>
          <w:i w:val="0"/>
          <w:sz w:val="21"/>
        </w:rPr>
        <w:t>执行机制方面，因为 SPU 走的是「追踪取图」而非「逐算子调用」的路线，所以它天然继承 JAX 的静态图特性：控制流需要以 JAX 可追踪的形式表达，张量的形状与类型需要在追踪期即可确定，动态形状会带来额外限制。这一约束会直接传导到我们的实现方式上，即格网运算的实现必须写成静态可追踪的形式，而不能依赖运行期才确定的形状。这一点在设计接入层的算子表达时就要考虑进去。</w:t>
      </w:r>
    </w:p>
    <w:p>
      <w:pPr>
        <w:spacing w:before="0" w:after="80" w:line="259" w:lineRule="auto"/>
      </w:pPr>
      <w:r>
        <w:rPr>
          <w:rFonts w:ascii="Times New Roman" w:hAnsi="Times New Roman" w:eastAsia="宋体" w:cs="Times New Roman"/>
          <w:b w:val="0"/>
          <w:i w:val="0"/>
          <w:sz w:val="21"/>
        </w:rPr>
        <w:t>前端修补方面，文件中有一组以 patch 为前缀的函数，包括 _patch_fcn 与 _patched_lax_float_to_int_for_sort。后者从命名可以看出是针对排序场景下浮点转整数行为的修补。这说明 SPU 在 JAX 前端层面做过行为修正，而不是原样接受 JAX 的默认语义。这类修补通常源于密态计算对确定性与一致性的特殊要求，因为同一份逻辑在明文与密态两侧必须给出完全一致的结果，任何依赖平台或实现细节的语义差异都必须被消除。</w:t>
      </w:r>
    </w:p>
    <w:p>
      <w:pPr>
        <w:spacing w:before="0" w:after="80" w:line="259" w:lineRule="auto"/>
      </w:pPr>
      <w:r>
        <w:rPr>
          <w:rFonts w:ascii="Times New Roman" w:hAnsi="Times New Roman" w:eastAsia="宋体" w:cs="Times New Roman"/>
          <w:b w:val="0"/>
          <w:i w:val="0"/>
          <w:sz w:val="21"/>
        </w:rPr>
        <w:t>此外，文件中还提供了 torch_compile 这一函数，其参数包含函数、展平参数、蒙版参数、有序字典形式的状态以及编译器选项。这说明除了 JAX 之外，SPU 还支持从 PyTorch 侧进入，且两条路径共用同一套编译选项结构。对照依赖声明可以看到，示例依赖中同时包含 torch 2.3.0 与 torch-xla 2.3.0、flax 0.10.7、以及 tensorflow 2.12.0 以上版本（后者注明用于 spu/utils/frontend.py）。对我们而言，这条信息的意义是前端选择并非只有一种，但 JAX 是主线，因为它直接决定算子语义与 HLO 生成这两件核心事务。</w:t>
      </w:r>
    </w:p>
    <w:p>
      <w:pPr>
        <w:keepNext/>
        <w:spacing w:before="180" w:after="80" w:line="252" w:lineRule="auto"/>
      </w:pPr>
      <w:r>
        <w:rPr>
          <w:rFonts w:ascii="Times New Roman" w:hAnsi="Times New Roman" w:eastAsia="宋体" w:cs="Times New Roman"/>
          <w:b/>
          <w:i w:val="0"/>
          <w:sz w:val="26"/>
        </w:rPr>
        <w:t>五　测试层面：以 JAX 为跨协议验证基准</w:t>
      </w:r>
    </w:p>
    <w:p>
      <w:pPr>
        <w:spacing w:before="0" w:after="80" w:line="259" w:lineRule="auto"/>
      </w:pPr>
      <w:r>
        <w:rPr>
          <w:rFonts w:ascii="Times New Roman" w:hAnsi="Times New Roman" w:eastAsia="宋体" w:cs="Times New Roman"/>
          <w:b w:val="0"/>
          <w:i w:val="0"/>
          <w:sz w:val="21"/>
        </w:rPr>
        <w:t>第五处用法是测试。这一层的信息量很大，因为测试文件的划分方式直接暴露了 SPU 的验证策略。spu/tests 目录下与 JAX 相关的测试呈现双重维度：既有按功能划分的，也有按协议划定的。</w:t>
      </w:r>
    </w:p>
    <w:p>
      <w:pPr>
        <w:keepNext/>
        <w:spacing w:before="100" w:after="40" w:line="252" w:lineRule="auto"/>
      </w:pPr>
      <w:r>
        <w:rPr>
          <w:rFonts w:ascii="Times New Roman" w:hAnsi="Times New Roman" w:eastAsia="宋体" w:cs="Times New Roman"/>
          <w:b/>
          <w:i w:val="0"/>
          <w:sz w:val="19"/>
        </w:rPr>
        <w:t>表 2　JAX 相关测试套件的两种划分维度</w:t>
      </w:r>
    </w:p>
    <w:tbl>
      <w:tblPr>
        <w:tblStyle w:val="TableGrid"/>
        <w:jc w:val="center"/>
        <w:tblLook w:firstColumn="1" w:firstRow="1" w:lastColumn="0" w:lastRow="0" w:noHBand="0" w:noVBand="1" w:val="04A0"/>
        <w:tblLayout w:type="fixed"/>
        <w:tblCellMar>
          <w:top w:w="28" w:type="dxa"/>
          <w:left w:w="120" w:type="dxa"/>
          <w:bottom w:w="28" w:type="dxa"/>
          <w:right w:w="120" w:type="dxa"/>
        </w:tblCellMar>
        <w:tblW w:w="9184" w:type="dxa"/>
        <w:tblInd w:w="120" w:type="dxa"/>
      </w:tblPr>
      <w:tblGrid>
        <w:gridCol w:w="1320"/>
        <w:gridCol w:w="3560"/>
        <w:gridCol w:w="4304"/>
      </w:tblGrid>
      <w:tr>
        <w:trPr>
          <w:tblHeader/>
        </w:trPr>
        <w:tc>
          <w:tcPr>
            <w:tcW w:type="dxa" w:w="1320"/>
            <w:shd w:val="clear" w:color="auto" w:fill="2F4858"/>
          </w:tcPr>
          <w:p>
            <w:pPr>
              <w:spacing w:before="0" w:after="20" w:line="245" w:lineRule="auto"/>
            </w:pPr>
            <w:r/>
            <w:r>
              <w:rPr>
                <w:rFonts w:ascii="Times New Roman" w:hAnsi="Times New Roman" w:eastAsia="宋体" w:cs="Times New Roman"/>
                <w:b/>
                <w:i w:val="0"/>
                <w:color w:val="FFFFFF"/>
                <w:sz w:val="18"/>
              </w:rPr>
              <w:t>划分维度</w:t>
            </w:r>
          </w:p>
        </w:tc>
        <w:tc>
          <w:tcPr>
            <w:tcW w:type="dxa" w:w="3560"/>
            <w:shd w:val="clear" w:color="auto" w:fill="2F4858"/>
          </w:tcPr>
          <w:p>
            <w:pPr>
              <w:spacing w:before="0" w:after="20" w:line="245" w:lineRule="auto"/>
            </w:pPr>
            <w:r/>
            <w:r>
              <w:rPr>
                <w:rFonts w:ascii="Times New Roman" w:hAnsi="Times New Roman" w:eastAsia="宋体" w:cs="Times New Roman"/>
                <w:b/>
                <w:i w:val="0"/>
                <w:color w:val="FFFFFF"/>
                <w:sz w:val="18"/>
              </w:rPr>
              <w:t>测试文件</w:t>
            </w:r>
          </w:p>
        </w:tc>
        <w:tc>
          <w:tcPr>
            <w:tcW w:type="dxa" w:w="4304"/>
            <w:shd w:val="clear" w:color="auto" w:fill="2F4858"/>
          </w:tcPr>
          <w:p>
            <w:pPr>
              <w:spacing w:before="0" w:after="20" w:line="245" w:lineRule="auto"/>
            </w:pPr>
            <w:r/>
            <w:r>
              <w:rPr>
                <w:rFonts w:ascii="Times New Roman" w:hAnsi="Times New Roman" w:eastAsia="宋体" w:cs="Times New Roman"/>
                <w:b/>
                <w:i w:val="0"/>
                <w:color w:val="FFFFFF"/>
                <w:sz w:val="18"/>
              </w:rPr>
              <w:t>验证目标</w:t>
            </w:r>
          </w:p>
        </w:tc>
      </w:tr>
      <w:tr>
        <w:tc>
          <w:tcPr>
            <w:tcW w:type="dxa" w:w="1320"/>
          </w:tcPr>
          <w:p>
            <w:pPr>
              <w:spacing w:before="0" w:after="20" w:line="245" w:lineRule="auto"/>
            </w:pPr>
            <w:r/>
            <w:r>
              <w:rPr>
                <w:rFonts w:ascii="Times New Roman" w:hAnsi="Times New Roman" w:eastAsia="宋体" w:cs="Times New Roman"/>
                <w:b/>
                <w:i w:val="0"/>
                <w:sz w:val="18"/>
              </w:rPr>
              <w:t>功能维度</w:t>
            </w:r>
          </w:p>
        </w:tc>
        <w:tc>
          <w:tcPr>
            <w:tcW w:type="dxa" w:w="3560"/>
          </w:tcPr>
          <w:p>
            <w:pPr>
              <w:spacing w:before="0" w:after="20" w:line="245" w:lineRule="auto"/>
            </w:pPr>
            <w:r/>
            <w:r>
              <w:rPr>
                <w:rFonts w:ascii="Times New Roman" w:hAnsi="Times New Roman" w:eastAsia="宋体" w:cs="Times New Roman"/>
                <w:b w:val="0"/>
                <w:i w:val="0"/>
                <w:sz w:val="18"/>
              </w:rPr>
              <w:t>jax_compile_test.py</w:t>
            </w:r>
          </w:p>
        </w:tc>
        <w:tc>
          <w:tcPr>
            <w:tcW w:type="dxa" w:w="4304"/>
          </w:tcPr>
          <w:p>
            <w:pPr>
              <w:spacing w:before="0" w:after="20" w:line="245" w:lineRule="auto"/>
            </w:pPr>
            <w:r/>
            <w:r>
              <w:rPr>
                <w:rFonts w:ascii="Times New Roman" w:hAnsi="Times New Roman" w:eastAsia="宋体" w:cs="Times New Roman"/>
                <w:b w:val="0"/>
                <w:i w:val="0"/>
                <w:sz w:val="18"/>
              </w:rPr>
              <w:t>编译链路：追踪、降级、HLO 导出是否正确</w:t>
            </w:r>
          </w:p>
        </w:tc>
      </w:tr>
      <w:tr>
        <w:tc>
          <w:tcPr>
            <w:tcW w:type="dxa" w:w="1320"/>
            <w:shd w:val="clear" w:color="auto" w:fill="F2F4F6"/>
          </w:tcPr>
          <w:p>
            <w:pPr>
              <w:spacing w:before="0" w:after="20" w:line="245" w:lineRule="auto"/>
            </w:pPr>
            <w:r/>
            <w:r>
              <w:rPr>
                <w:rFonts w:ascii="Times New Roman" w:hAnsi="Times New Roman" w:eastAsia="宋体" w:cs="Times New Roman"/>
                <w:b/>
                <w:i w:val="0"/>
                <w:sz w:val="18"/>
              </w:rPr>
              <w:t>功能维度</w:t>
            </w:r>
          </w:p>
        </w:tc>
        <w:tc>
          <w:tcPr>
            <w:tcW w:type="dxa" w:w="3560"/>
            <w:shd w:val="clear" w:color="auto" w:fill="F2F4F6"/>
          </w:tcPr>
          <w:p>
            <w:pPr>
              <w:spacing w:before="0" w:after="20" w:line="245" w:lineRule="auto"/>
            </w:pPr>
            <w:r/>
            <w:r>
              <w:rPr>
                <w:rFonts w:ascii="Times New Roman" w:hAnsi="Times New Roman" w:eastAsia="宋体" w:cs="Times New Roman"/>
                <w:b w:val="0"/>
                <w:i w:val="0"/>
                <w:sz w:val="18"/>
              </w:rPr>
              <w:t>jax_sanity_test.py</w:t>
            </w:r>
          </w:p>
        </w:tc>
        <w:tc>
          <w:tcPr>
            <w:tcW w:type="dxa" w:w="4304"/>
            <w:shd w:val="clear" w:color="auto" w:fill="F2F4F6"/>
          </w:tcPr>
          <w:p>
            <w:pPr>
              <w:spacing w:before="0" w:after="20" w:line="245" w:lineRule="auto"/>
            </w:pPr>
            <w:r/>
            <w:r>
              <w:rPr>
                <w:rFonts w:ascii="Times New Roman" w:hAnsi="Times New Roman" w:eastAsia="宋体" w:cs="Times New Roman"/>
                <w:b w:val="0"/>
                <w:i w:val="0"/>
                <w:sz w:val="18"/>
              </w:rPr>
              <w:t>基础正确性：JAX 语义在密态下是否成立</w:t>
            </w:r>
          </w:p>
        </w:tc>
      </w:tr>
      <w:tr>
        <w:tc>
          <w:tcPr>
            <w:tcW w:type="dxa" w:w="1320"/>
          </w:tcPr>
          <w:p>
            <w:pPr>
              <w:spacing w:before="0" w:after="20" w:line="245" w:lineRule="auto"/>
            </w:pPr>
            <w:r/>
            <w:r>
              <w:rPr>
                <w:rFonts w:ascii="Times New Roman" w:hAnsi="Times New Roman" w:eastAsia="宋体" w:cs="Times New Roman"/>
                <w:b/>
                <w:i w:val="0"/>
                <w:sz w:val="18"/>
              </w:rPr>
              <w:t>功能维度</w:t>
            </w:r>
          </w:p>
        </w:tc>
        <w:tc>
          <w:tcPr>
            <w:tcW w:type="dxa" w:w="3560"/>
          </w:tcPr>
          <w:p>
            <w:pPr>
              <w:spacing w:before="0" w:after="20" w:line="245" w:lineRule="auto"/>
            </w:pPr>
            <w:r/>
            <w:r>
              <w:rPr>
                <w:rFonts w:ascii="Times New Roman" w:hAnsi="Times New Roman" w:eastAsia="宋体" w:cs="Times New Roman"/>
                <w:b w:val="0"/>
                <w:i w:val="0"/>
                <w:sz w:val="18"/>
              </w:rPr>
              <w:t>frontend_test.py</w:t>
            </w:r>
          </w:p>
        </w:tc>
        <w:tc>
          <w:tcPr>
            <w:tcW w:type="dxa" w:w="4304"/>
          </w:tcPr>
          <w:p>
            <w:pPr>
              <w:spacing w:before="0" w:after="20" w:line="245" w:lineRule="auto"/>
            </w:pPr>
            <w:r/>
            <w:r>
              <w:rPr>
                <w:rFonts w:ascii="Times New Roman" w:hAnsi="Times New Roman" w:eastAsia="宋体" w:cs="Times New Roman"/>
                <w:b w:val="0"/>
                <w:i w:val="0"/>
                <w:sz w:val="18"/>
              </w:rPr>
              <w:t>前端桥接层：编译键、参数处理与补丁行为</w:t>
            </w:r>
          </w:p>
        </w:tc>
      </w:tr>
      <w:tr>
        <w:tc>
          <w:tcPr>
            <w:tcW w:type="dxa" w:w="1320"/>
            <w:shd w:val="clear" w:color="auto" w:fill="F2F4F6"/>
          </w:tcPr>
          <w:p>
            <w:pPr>
              <w:spacing w:before="0" w:after="20" w:line="245" w:lineRule="auto"/>
            </w:pPr>
            <w:r/>
            <w:r>
              <w:rPr>
                <w:rFonts w:ascii="Times New Roman" w:hAnsi="Times New Roman" w:eastAsia="宋体" w:cs="Times New Roman"/>
                <w:b/>
                <w:i w:val="0"/>
                <w:sz w:val="18"/>
              </w:rPr>
              <w:t>协议维度</w:t>
            </w:r>
          </w:p>
        </w:tc>
        <w:tc>
          <w:tcPr>
            <w:tcW w:type="dxa" w:w="3560"/>
            <w:shd w:val="clear" w:color="auto" w:fill="F2F4F6"/>
          </w:tcPr>
          <w:p>
            <w:pPr>
              <w:spacing w:before="0" w:after="20" w:line="245" w:lineRule="auto"/>
            </w:pPr>
            <w:r/>
            <w:r>
              <w:rPr>
                <w:rFonts w:ascii="Times New Roman" w:hAnsi="Times New Roman" w:eastAsia="宋体" w:cs="Times New Roman"/>
                <w:b w:val="0"/>
                <w:i w:val="0"/>
                <w:sz w:val="18"/>
              </w:rPr>
              <w:t>jnp_semi2k_r64_test.py</w:t>
            </w:r>
          </w:p>
          <w:p>
            <w:pPr>
              <w:spacing w:before="0" w:after="20" w:line="245" w:lineRule="auto"/>
            </w:pPr>
            <w:r>
              <w:rPr>
                <w:rFonts w:ascii="Times New Roman" w:hAnsi="Times New Roman" w:eastAsia="宋体" w:cs="Times New Roman"/>
                <w:b w:val="0"/>
                <w:i w:val="0"/>
                <w:color w:val="555555"/>
                <w:sz w:val="17"/>
              </w:rPr>
              <w:t>jnp_semi2k_r128_test.py</w:t>
            </w:r>
          </w:p>
        </w:tc>
        <w:tc>
          <w:tcPr>
            <w:tcW w:type="dxa" w:w="4304"/>
            <w:shd w:val="clear" w:color="auto" w:fill="F2F4F6"/>
          </w:tcPr>
          <w:p>
            <w:pPr>
              <w:spacing w:before="0" w:after="20" w:line="245" w:lineRule="auto"/>
            </w:pPr>
            <w:r/>
            <w:r>
              <w:rPr>
                <w:rFonts w:ascii="Times New Roman" w:hAnsi="Times New Roman" w:eastAsia="宋体" w:cs="Times New Roman"/>
                <w:b w:val="0"/>
                <w:i w:val="0"/>
                <w:sz w:val="18"/>
              </w:rPr>
              <w:t>SEMI2K 两方协议下，六十四位与一百二十八位环上的 JAX 算子结果</w:t>
            </w:r>
          </w:p>
        </w:tc>
      </w:tr>
      <w:tr>
        <w:tc>
          <w:tcPr>
            <w:tcW w:type="dxa" w:w="1320"/>
          </w:tcPr>
          <w:p>
            <w:pPr>
              <w:spacing w:before="0" w:after="20" w:line="245" w:lineRule="auto"/>
            </w:pPr>
            <w:r/>
            <w:r>
              <w:rPr>
                <w:rFonts w:ascii="Times New Roman" w:hAnsi="Times New Roman" w:eastAsia="宋体" w:cs="Times New Roman"/>
                <w:b/>
                <w:i w:val="0"/>
                <w:sz w:val="18"/>
              </w:rPr>
              <w:t>协议维度</w:t>
            </w:r>
          </w:p>
        </w:tc>
        <w:tc>
          <w:tcPr>
            <w:tcW w:type="dxa" w:w="3560"/>
          </w:tcPr>
          <w:p>
            <w:pPr>
              <w:spacing w:before="0" w:after="20" w:line="245" w:lineRule="auto"/>
            </w:pPr>
            <w:r/>
            <w:r>
              <w:rPr>
                <w:rFonts w:ascii="Times New Roman" w:hAnsi="Times New Roman" w:eastAsia="宋体" w:cs="Times New Roman"/>
                <w:b w:val="0"/>
                <w:i w:val="0"/>
                <w:sz w:val="18"/>
              </w:rPr>
              <w:t>jnp_aby3_r64_test.py</w:t>
            </w:r>
          </w:p>
          <w:p>
            <w:pPr>
              <w:spacing w:before="0" w:after="20" w:line="245" w:lineRule="auto"/>
            </w:pPr>
            <w:r>
              <w:rPr>
                <w:rFonts w:ascii="Times New Roman" w:hAnsi="Times New Roman" w:eastAsia="宋体" w:cs="Times New Roman"/>
                <w:b w:val="0"/>
                <w:i w:val="0"/>
                <w:color w:val="555555"/>
                <w:sz w:val="17"/>
              </w:rPr>
              <w:t>jnp_aby3_r128_test.py</w:t>
            </w:r>
          </w:p>
        </w:tc>
        <w:tc>
          <w:tcPr>
            <w:tcW w:type="dxa" w:w="4304"/>
          </w:tcPr>
          <w:p>
            <w:pPr>
              <w:spacing w:before="0" w:after="20" w:line="245" w:lineRule="auto"/>
            </w:pPr>
            <w:r/>
            <w:r>
              <w:rPr>
                <w:rFonts w:ascii="Times New Roman" w:hAnsi="Times New Roman" w:eastAsia="宋体" w:cs="Times New Roman"/>
                <w:b w:val="0"/>
                <w:i w:val="0"/>
                <w:sz w:val="18"/>
              </w:rPr>
              <w:t>ABY3 三方协议下，同样两组环宽度的算子结果</w:t>
            </w:r>
          </w:p>
        </w:tc>
      </w:tr>
      <w:tr>
        <w:tc>
          <w:tcPr>
            <w:tcW w:type="dxa" w:w="1320"/>
            <w:shd w:val="clear" w:color="auto" w:fill="F2F4F6"/>
          </w:tcPr>
          <w:p>
            <w:pPr>
              <w:spacing w:before="0" w:after="20" w:line="245" w:lineRule="auto"/>
            </w:pPr>
            <w:r/>
            <w:r>
              <w:rPr>
                <w:rFonts w:ascii="Times New Roman" w:hAnsi="Times New Roman" w:eastAsia="宋体" w:cs="Times New Roman"/>
                <w:b/>
                <w:i w:val="0"/>
                <w:sz w:val="18"/>
              </w:rPr>
              <w:t>协议维度</w:t>
            </w:r>
          </w:p>
        </w:tc>
        <w:tc>
          <w:tcPr>
            <w:tcW w:type="dxa" w:w="3560"/>
            <w:shd w:val="clear" w:color="auto" w:fill="F2F4F6"/>
          </w:tcPr>
          <w:p>
            <w:pPr>
              <w:spacing w:before="0" w:after="20" w:line="245" w:lineRule="auto"/>
            </w:pPr>
            <w:r/>
            <w:r>
              <w:rPr>
                <w:rFonts w:ascii="Times New Roman" w:hAnsi="Times New Roman" w:eastAsia="宋体" w:cs="Times New Roman"/>
                <w:b w:val="0"/>
                <w:i w:val="0"/>
                <w:sz w:val="18"/>
              </w:rPr>
              <w:t>jnp_cheetah_r64_test.py</w:t>
            </w:r>
          </w:p>
        </w:tc>
        <w:tc>
          <w:tcPr>
            <w:tcW w:type="dxa" w:w="4304"/>
            <w:shd w:val="clear" w:color="auto" w:fill="F2F4F6"/>
          </w:tcPr>
          <w:p>
            <w:pPr>
              <w:spacing w:before="0" w:after="20" w:line="245" w:lineRule="auto"/>
            </w:pPr>
            <w:r/>
            <w:r>
              <w:rPr>
                <w:rFonts w:ascii="Times New Roman" w:hAnsi="Times New Roman" w:eastAsia="宋体" w:cs="Times New Roman"/>
                <w:b w:val="0"/>
                <w:i w:val="0"/>
                <w:sz w:val="18"/>
              </w:rPr>
              <w:t>Cheetah 协议下的算子结果</w:t>
            </w:r>
          </w:p>
        </w:tc>
      </w:tr>
      <w:tr>
        <w:tc>
          <w:tcPr>
            <w:tcW w:type="dxa" w:w="1320"/>
          </w:tcPr>
          <w:p>
            <w:pPr>
              <w:spacing w:before="0" w:after="20" w:line="245" w:lineRule="auto"/>
            </w:pPr>
            <w:r/>
            <w:r>
              <w:rPr>
                <w:rFonts w:ascii="Times New Roman" w:hAnsi="Times New Roman" w:eastAsia="宋体" w:cs="Times New Roman"/>
                <w:b/>
                <w:i w:val="0"/>
                <w:sz w:val="18"/>
              </w:rPr>
              <w:t>协议维度</w:t>
            </w:r>
          </w:p>
        </w:tc>
        <w:tc>
          <w:tcPr>
            <w:tcW w:type="dxa" w:w="3560"/>
          </w:tcPr>
          <w:p>
            <w:pPr>
              <w:spacing w:before="0" w:after="20" w:line="245" w:lineRule="auto"/>
            </w:pPr>
            <w:r/>
            <w:r>
              <w:rPr>
                <w:rFonts w:ascii="Times New Roman" w:hAnsi="Times New Roman" w:eastAsia="宋体" w:cs="Times New Roman"/>
                <w:b w:val="0"/>
                <w:i w:val="0"/>
                <w:sz w:val="18"/>
              </w:rPr>
              <w:t>jnp_ref2k_r64_test.py</w:t>
            </w:r>
          </w:p>
        </w:tc>
        <w:tc>
          <w:tcPr>
            <w:tcW w:type="dxa" w:w="4304"/>
          </w:tcPr>
          <w:p>
            <w:pPr>
              <w:spacing w:before="0" w:after="20" w:line="245" w:lineRule="auto"/>
            </w:pPr>
            <w:r/>
            <w:r>
              <w:rPr>
                <w:rFonts w:ascii="Times New Roman" w:hAnsi="Times New Roman" w:eastAsia="宋体" w:cs="Times New Roman"/>
                <w:b w:val="0"/>
                <w:i w:val="0"/>
                <w:sz w:val="18"/>
              </w:rPr>
              <w:t>参考实现对照下的算子结果</w:t>
            </w:r>
          </w:p>
        </w:tc>
      </w:tr>
      <w:tr>
        <w:tc>
          <w:tcPr>
            <w:tcW w:type="dxa" w:w="1320"/>
            <w:shd w:val="clear" w:color="auto" w:fill="F2F4F6"/>
          </w:tcPr>
          <w:p>
            <w:pPr>
              <w:spacing w:before="0" w:after="20" w:line="245" w:lineRule="auto"/>
            </w:pPr>
            <w:r/>
            <w:r>
              <w:rPr>
                <w:rFonts w:ascii="Times New Roman" w:hAnsi="Times New Roman" w:eastAsia="宋体" w:cs="Times New Roman"/>
                <w:b/>
                <w:i w:val="0"/>
                <w:sz w:val="18"/>
              </w:rPr>
              <w:t>辅助</w:t>
            </w:r>
          </w:p>
        </w:tc>
        <w:tc>
          <w:tcPr>
            <w:tcW w:type="dxa" w:w="3560"/>
            <w:shd w:val="clear" w:color="auto" w:fill="F2F4F6"/>
          </w:tcPr>
          <w:p>
            <w:pPr>
              <w:spacing w:before="0" w:after="20" w:line="245" w:lineRule="auto"/>
            </w:pPr>
            <w:r/>
            <w:r>
              <w:rPr>
                <w:rFonts w:ascii="Times New Roman" w:hAnsi="Times New Roman" w:eastAsia="宋体" w:cs="Times New Roman"/>
                <w:b w:val="0"/>
                <w:i w:val="0"/>
                <w:sz w:val="18"/>
              </w:rPr>
              <w:t>jnp_testbase.py / jnp_debug.py</w:t>
            </w:r>
          </w:p>
        </w:tc>
        <w:tc>
          <w:tcPr>
            <w:tcW w:type="dxa" w:w="4304"/>
            <w:shd w:val="clear" w:color="auto" w:fill="F2F4F6"/>
          </w:tcPr>
          <w:p>
            <w:pPr>
              <w:spacing w:before="0" w:after="20" w:line="245" w:lineRule="auto"/>
            </w:pPr>
            <w:r/>
            <w:r>
              <w:rPr>
                <w:rFonts w:ascii="Times New Roman" w:hAnsi="Times New Roman" w:eastAsia="宋体" w:cs="Times New Roman"/>
                <w:b w:val="0"/>
                <w:i w:val="0"/>
                <w:sz w:val="18"/>
              </w:rPr>
              <w:t>测试基类与调试辅助</w:t>
            </w:r>
          </w:p>
        </w:tc>
      </w:tr>
    </w:tbl>
    <w:p>
      <w:pPr>
        <w:spacing w:before="0" w:after="80" w:line="259" w:lineRule="auto"/>
      </w:pPr>
      <w:r>
        <w:rPr>
          <w:rFonts w:ascii="Times New Roman" w:hAnsi="Times New Roman" w:eastAsia="宋体" w:cs="Times New Roman"/>
          <w:b w:val="0"/>
          <w:i w:val="0"/>
          <w:sz w:val="17"/>
        </w:rPr>
        <w:t>注：文件清单取自 spu/tests 目录；「验证目标」列为依据文件命名与所在目录归纳。</w:t>
      </w:r>
    </w:p>
    <w:p>
      <w:pPr>
        <w:spacing w:before="0" w:after="80" w:line="259" w:lineRule="auto"/>
      </w:pPr>
      <w:r>
        <w:rPr>
          <w:rFonts w:ascii="Times New Roman" w:hAnsi="Times New Roman" w:eastAsia="宋体" w:cs="Times New Roman"/>
          <w:b w:val="0"/>
          <w:i w:val="0"/>
          <w:sz w:val="21"/>
        </w:rPr>
        <w:t>这套测试结构传递了三条信息。第一，算子正确性是按协议分别验证的，而非一次验证到处适用。这意味着同一份格网运算在不同协议下可能出现不同的结果或精度，选型时必须按目标协议验证，不能拿 SEMI2K 上的结果去推断 ABY3 的表现。第二，环宽度被显式区分为六十四位与一百二十八位两档，说明整数溢出与精度是实际关注点。这一点与我们的定长键直接相关：我们的 grid_code 是六十四位定长编码，若在六十四位环上做密态运算，溢出边界需要专门核算，必要时得升到一百二十八位环。第三，存在独立的编译测试与前端测试，说明编译链路本身被当作需要单独验证的对象，这与第三节所述「租用 JAX 前端」的设计相互印证。</w:t>
      </w:r>
    </w:p>
    <w:p>
      <w:pPr>
        <w:keepNext/>
        <w:spacing w:before="180" w:after="80" w:line="252" w:lineRule="auto"/>
      </w:pPr>
      <w:r>
        <w:rPr>
          <w:rFonts w:ascii="Times New Roman" w:hAnsi="Times New Roman" w:eastAsia="宋体" w:cs="Times New Roman"/>
          <w:b/>
          <w:i w:val="0"/>
          <w:sz w:val="26"/>
        </w:rPr>
        <w:t>六　对本课题的落点判断</w:t>
      </w:r>
    </w:p>
    <w:p>
      <w:pPr>
        <w:spacing w:before="0" w:after="80" w:line="259" w:lineRule="auto"/>
      </w:pPr>
      <w:r>
        <w:rPr>
          <w:rFonts w:ascii="Times New Roman" w:hAnsi="Times New Roman" w:eastAsia="宋体" w:cs="Times New Roman"/>
          <w:b w:val="0"/>
          <w:i w:val="0"/>
          <w:sz w:val="21"/>
        </w:rPr>
        <w:t>把上述五重角色对回到「三维格网数据统一接入隐私计算体系」这一课题，可以给出四点判断。</w:t>
      </w:r>
    </w:p>
    <w:p>
      <w:pPr>
        <w:spacing w:before="0" w:after="80" w:line="259" w:lineRule="auto"/>
      </w:pPr>
      <w:r>
        <w:rPr>
          <w:rFonts w:ascii="Times New Roman" w:hAnsi="Times New Roman" w:eastAsia="宋体" w:cs="Times New Roman"/>
          <w:b w:val="0"/>
          <w:i w:val="0"/>
          <w:sz w:val="21"/>
        </w:rPr>
        <w:t>第一，接入层的算子表达应当直接用 JAX 书写。既然 SPU 的前端契约就是 JAX，那么我们的格网运算逻辑只要用 JAX 表达，就能直接被编译为密态可执行形式，不必为每种算子单独开发绑定。这是本次解析中最有价值的一条结论，它意味着我们与蚂蚁密算之间可以有一个明确的语言层面约定，即「以 JAX 算子语义为接口契约」。</w:t>
      </w:r>
    </w:p>
    <w:p>
      <w:pPr>
        <w:spacing w:before="0" w:after="80" w:line="259" w:lineRule="auto"/>
      </w:pPr>
      <w:r>
        <w:rPr>
          <w:rFonts w:ascii="Times New Roman" w:hAnsi="Times New Roman" w:eastAsia="宋体" w:cs="Times New Roman"/>
          <w:b w:val="0"/>
          <w:i w:val="0"/>
          <w:sz w:val="21"/>
        </w:rPr>
        <w:t>第二，取整规则必须两端对齐。SPU 已明确适配银行家取整，而我们此前正好发现过取整规则未写死的问题。这意味着量化字典中形如零点半的边界值在明文侧与密态侧可能落到不同箱号。处置方式是在接入层规范里把取整规则显式写死为与 SPU 一致，而不是留待实现时决定。</w:t>
      </w:r>
    </w:p>
    <w:p>
      <w:pPr>
        <w:spacing w:before="0" w:after="80" w:line="259" w:lineRule="auto"/>
      </w:pPr>
      <w:r>
        <w:rPr>
          <w:rFonts w:ascii="Times New Roman" w:hAnsi="Times New Roman" w:eastAsia="宋体" w:cs="Times New Roman"/>
          <w:b w:val="0"/>
          <w:i w:val="0"/>
          <w:sz w:val="21"/>
        </w:rPr>
        <w:t>第三，六十四位环的溢出风险需要正面核算。我们的 grid_code 恰为六十四位定长，而测试套件按六十四位与一百二十八位两档分别验证，说明这是已知的敏感点。在密态运算中若涉及编码的加法、乘法或比较，需要先核算溢出边界，必要时把环宽度提升到一百二十八位，代价是通信与计算开销上升。</w:t>
      </w:r>
    </w:p>
    <w:p>
      <w:pPr>
        <w:spacing w:before="0" w:after="80" w:line="259" w:lineRule="auto"/>
      </w:pPr>
      <w:r>
        <w:rPr>
          <w:rFonts w:ascii="Times New Roman" w:hAnsi="Times New Roman" w:eastAsia="宋体" w:cs="Times New Roman"/>
          <w:b w:val="0"/>
          <w:i w:val="0"/>
          <w:sz w:val="21"/>
        </w:rPr>
        <w:t>第四，算子覆盖已经够用，不必等待上游。本次核查的 JAX 相关算子中，密态相等比较、位集计数、选前 N 项、分组聚合、置换与取整语义均已有实现，与我们此前对 SPU 整体能力的判断一致。结合公开仓库当前处于维护节奏这一事实，现实的做法是基于正式发布版 0.9.4 起步，把开发态新增能力作为待评估项而非前提条件。</w:t>
      </w:r>
    </w:p>
    <w:p>
      <w:pPr>
        <w:keepNext/>
        <w:spacing w:before="180" w:after="80" w:line="252" w:lineRule="auto"/>
      </w:pPr>
      <w:r>
        <w:rPr>
          <w:rFonts w:ascii="Times New Roman" w:hAnsi="Times New Roman" w:eastAsia="宋体" w:cs="Times New Roman"/>
          <w:b/>
          <w:i w:val="0"/>
          <w:sz w:val="26"/>
        </w:rPr>
        <w:t>七　风险提示</w:t>
      </w:r>
    </w:p>
    <w:p>
      <w:pPr>
        <w:spacing w:before="0" w:after="80" w:line="259" w:lineRule="auto"/>
      </w:pPr>
      <w:r>
        <w:rPr>
          <w:rFonts w:ascii="Times New Roman" w:hAnsi="Times New Roman" w:eastAsia="宋体" w:cs="Times New Roman"/>
          <w:b w:val="0"/>
          <w:i w:val="0"/>
          <w:sz w:val="21"/>
        </w:rPr>
        <w:t>第一项风险是版本耦合深度。SPU 对 JAX 的引用已经进入内部模块层面，代码中明确标注了 wrap_init 等接口在不同 JAX 版本中的位置迁移。这意味着 JAX 一旦升级，SPU 需要跟进适配；反过来，若我们的环境中其他组件要求不同的 JAX 版本，冲突会直接阻断 SPU 的使用。应对方式是在项目环境规划阶段就把 JAX 版本作为硬约束单列出来。</w:t>
      </w:r>
    </w:p>
    <w:p>
      <w:pPr>
        <w:spacing w:before="0" w:after="80" w:line="259" w:lineRule="auto"/>
      </w:pPr>
      <w:r>
        <w:rPr>
          <w:rFonts w:ascii="Times New Roman" w:hAnsi="Times New Roman" w:eastAsia="宋体" w:cs="Times New Roman"/>
          <w:b w:val="0"/>
          <w:i w:val="0"/>
          <w:sz w:val="21"/>
        </w:rPr>
        <w:t>第二项风险是编译缓存未启用。前面提到的 LRU 缓存目前处于注释状态，意味着同一份计算逻辑在反复调用时会重复走追踪与降级流程。对于需要多轮迭代的验证场景，这部分开销会累积。实际应对可以在验证脚本层面自行缓存序列化产物，而不依赖上游启用该缓存。</w:t>
      </w:r>
    </w:p>
    <w:p>
      <w:pPr>
        <w:spacing w:before="0" w:after="80" w:line="259" w:lineRule="auto"/>
      </w:pPr>
      <w:r>
        <w:rPr>
          <w:rFonts w:ascii="Times New Roman" w:hAnsi="Times New Roman" w:eastAsia="宋体" w:cs="Times New Roman"/>
          <w:b w:val="0"/>
          <w:i w:val="0"/>
          <w:sz w:val="21"/>
        </w:rPr>
        <w:t>第三项风险是静态图约束带来的表达限制。因为走的是追踪取图的路线，格网运算的实现必须写成静态可追踪的形式。若我们的算法中存在运行期才确定形状的环节，需要提前改造为静态形式，否则会在追踪阶段失败。这一点在算法设计阶段就要纳入考虑，事后返工的代价较高。</w:t>
      </w:r>
    </w:p>
    <w:p>
      <w:pPr>
        <w:keepNext/>
        <w:spacing w:before="180" w:after="80" w:line="252" w:lineRule="auto"/>
      </w:pPr>
      <w:r>
        <w:rPr>
          <w:rFonts w:ascii="Times New Roman" w:hAnsi="Times New Roman" w:eastAsia="宋体" w:cs="Times New Roman"/>
          <w:b/>
          <w:i w:val="0"/>
          <w:sz w:val="26"/>
        </w:rPr>
        <w:t>附　信息来源与核查方式</w:t>
      </w:r>
    </w:p>
    <w:p>
      <w:pPr>
        <w:spacing w:before="0" w:after="80" w:line="259" w:lineRule="auto"/>
      </w:pPr>
      <w:r>
        <w:rPr>
          <w:rFonts w:ascii="Times New Roman" w:hAnsi="Times New Roman" w:eastAsia="宋体" w:cs="Times New Roman"/>
          <w:b w:val="0"/>
          <w:i w:val="0"/>
          <w:sz w:val="21"/>
        </w:rPr>
        <w:t>本文事实性陈述的来源包括：依赖声明 pyproject.toml（内含 jax[cpu]==0.8.0 与 NumPy 2.0.0 下限）；JAX 桥接模块 spu/utils/frontend.py（315 行，核心为 _jax_compilation 与 _jax_compilation_key，含 interpreter 后端注册、序列化 HLO 导出、被注释的 LRU 缓存、patch 类函数与 torch_compile）；运行接口 spu/api.py；自研方言目录 src/libspu/dialect/pphlo 及其下的 IR 与 transforms；Python 算子目录 spu/ops 及其下的 groupby；spu/utils 下的 frontend、polyfill、simulation 三个模块；按协议划分的 JAX 测试套件；以及变更日志 CHANGELOG.md 中历次算子适配记录。核查时点为 2026 年 9 月，版本快照为开发态 0.10.0.dev20251211、最新正式发布 0.9.4。</w:t>
      </w:r>
    </w:p>
    <w:p>
      <w:pPr>
        <w:spacing w:before="0" w:after="80" w:line="259" w:lineRule="auto"/>
      </w:pPr>
      <w:r>
        <w:rPr>
          <w:rFonts w:ascii="Times New Roman" w:hAnsi="Times New Roman" w:eastAsia="宋体" w:cs="Times New Roman"/>
          <w:b w:val="0"/>
          <w:i w:val="0"/>
          <w:sz w:val="21"/>
        </w:rPr>
        <w:t>需要说明两点局限。其一，本文未做任何实际编译或运行验证，关于编译链路行为的描述来自对源码结构的解读，实际行为需以本机运行结果为准。其二，本文未逐一核对全部 JAX 算子的适配情况，表 1 仅列出与本课题场景相关的部分，完整的算子支持清单应以仓库测试套件为准。</w:t>
      </w:r>
    </w:p>
    <w:p>
      <w:pPr>
        <w:spacing w:before="0" w:after="80" w:line="259" w:lineRule="auto"/>
      </w:pPr>
      <w:r>
        <w:rPr>
          <w:rFonts w:ascii="Times New Roman" w:hAnsi="Times New Roman" w:eastAsia="宋体" w:cs="Times New Roman"/>
          <w:b w:val="0"/>
          <w:i w:val="0"/>
          <w:sz w:val="17"/>
        </w:rPr>
        <w:t>核心结论：JAX 在 SPU 中是前端契约而非计算引擎——注册占位后端、借追踪降级导出序列化 HLO、交由自研 MPC 运行时执行。</w:t>
      </w:r>
    </w:p>
    <w:sectPr w:rsidR="00FC693F" w:rsidRPr="0006063C" w:rsidSect="00034616">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