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0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the-components-of-the-soul"/>
    <w:p>
      <w:pPr>
        <w:pStyle w:val="Heading1"/>
      </w:pPr>
      <w:r>
        <w:t xml:space="preserve">The Components of the Soul</w:t>
      </w:r>
    </w:p>
    <w:bookmarkStart w:id="12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867978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/tmp/docx_diagrams_soul/diagram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-de-mystifying-the-soul">
        <w:r>
          <w:rPr>
            <w:rStyle w:val="Hyperlink"/>
          </w:rPr>
          <w:t xml:space="preserve">Executive Summary: De-Mystifying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4"/>
    <w:bookmarkStart w:id="15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5"/>
    <w:bookmarkStart w:id="19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654326"/>
            <wp:effectExtent b="0" l="0" r="0" t="0"/>
            <wp:docPr descr="Diagram 2" title="" id="17" name="Picture"/>
            <a:graphic>
              <a:graphicData uri="http://schemas.openxmlformats.org/drawingml/2006/picture">
                <pic:pic>
                  <pic:nvPicPr>
                    <pic:cNvPr descr="/tmp/docx_diagrams_soul/diagram_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19"/>
    <w:bookmarkStart w:id="26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913694"/>
            <wp:effectExtent b="0" l="0" r="0" t="0"/>
            <wp:docPr descr="Diagram 3" title="" id="21" name="Picture"/>
            <a:graphic>
              <a:graphicData uri="http://schemas.openxmlformats.org/drawingml/2006/picture">
                <pic:pic>
                  <pic:nvPicPr>
                    <pic:cNvPr descr="/tmp/docx_diagrams_soul/diagram_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3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3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3"/>
    <w:bookmarkStart w:id="24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4"/>
    <w:bookmarkStart w:id="25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7"/>
    <w:bookmarkStart w:id="31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4944533"/>
            <wp:effectExtent b="0" l="0" r="0" t="0"/>
            <wp:docPr descr="Diagram 4" title="" id="29" name="Picture"/>
            <a:graphic>
              <a:graphicData uri="http://schemas.openxmlformats.org/drawingml/2006/picture">
                <pic:pic>
                  <pic:nvPicPr>
                    <pic:cNvPr descr="/tmp/docx_diagrams_soul/diagram_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3530839"/>
            <wp:effectExtent b="0" l="0" r="0" t="0"/>
            <wp:docPr descr="Diagram 5" title="" id="33" name="Picture"/>
            <a:graphic>
              <a:graphicData uri="http://schemas.openxmlformats.org/drawingml/2006/picture">
                <pic:pic>
                  <pic:nvPicPr>
                    <pic:cNvPr descr="/tmp/docx_diagrams_soul/diagram_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51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Chance &amp;Necessity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Molecular Crucible (Monod/Eigen)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39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953680"/>
            <wp:effectExtent b="0" l="0" r="0" t="0"/>
            <wp:docPr descr="Diagram 6" title="" id="37" name="Picture"/>
            <a:graphic>
              <a:graphicData uri="http://schemas.openxmlformats.org/drawingml/2006/picture">
                <pic:pic>
                  <pic:nvPicPr>
                    <pic:cNvPr descr="/tmp/docx_diagrams_soul/diagram_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39"/>
    <w:bookmarkStart w:id="50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5076439"/>
            <wp:effectExtent b="0" l="0" r="0" t="0"/>
            <wp:docPr descr="Diagram 7" title="" id="41" name="Picture"/>
            <a:graphic>
              <a:graphicData uri="http://schemas.openxmlformats.org/drawingml/2006/picture">
                <pic:pic>
                  <pic:nvPicPr>
                    <pic:cNvPr descr="/tmp/docx_diagrams_soul/diagram_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76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3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3"/>
    <w:bookmarkStart w:id="44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4"/>
    <w:bookmarkStart w:id="45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5"/>
    <w:bookmarkStart w:id="46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6"/>
    <w:bookmarkStart w:id="47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7"/>
    <w:bookmarkStart w:id="48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8"/>
    <w:bookmarkStart w:id="49" w:name="macro-level-summary-table"/>
    <w:p>
      <w:pPr>
        <w:pStyle w:val="Heading4"/>
      </w:pPr>
      <w:r>
        <w:t xml:space="preserve">Macro-Level Summary Table: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Architectural Layer</m:t>
                </m:r>
              </m:e>
              <m:e>
                <m:r>
                  <m:rPr>
                    <m:nor/>
                    <m:sty m:val="b"/>
                  </m:rPr>
                  <m:t>Weight</m:t>
                </m:r>
              </m:e>
              <m:e>
                <m:r>
                  <m:rPr>
                    <m:nor/>
                    <m:sty m:val="b"/>
                  </m:rPr>
                  <m:t>Ontological Function</m:t>
                </m:r>
              </m:e>
            </m:mr>
            <m:mr>
              <m:e>
                <m:r>
                  <m:rPr>
                    <m:nor/>
                    <m:sty m:val="p"/>
                  </m:rPr>
                  <m:t>1. Ontological Ground (Mind-at-Large)</m:t>
                </m:r>
              </m:e>
              <m:e>
                <m:r>
                  <m:rPr>
                    <m:sty m:val="b"/>
                  </m:rPr>
                  <m:t>25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pure, undivided field of conscious awareness</m:t>
                </m:r>
              </m:e>
            </m:mr>
            <m:mr>
              <m:e>
                <m:r>
                  <m:rPr>
                    <m:nor/>
                    <m:sty m:val="p"/>
                  </m:rPr>
                  <m:t>2. Biological Embodiment (Genetics + Chance/Eigen + Epigenetics)</m:t>
                </m:r>
              </m:e>
              <m:e>
                <m:r>
                  <m:rPr>
                    <m:sty m:val="b"/>
                  </m:rPr>
                  <m:t>40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physical, thermodynamic, and molecular carrier vessel</m:t>
                </m:r>
              </m:e>
            </m:mr>
            <m:mr>
              <m:e>
                <m:r>
                  <m:rPr>
                    <m:nor/>
                    <m:sty m:val="p"/>
                  </m:rPr>
                  <m:t>3. Cognitive Individuation (Lifelong Learning + Ego Tunnel)</m:t>
                </m:r>
              </m:e>
              <m:e>
                <m:r>
                  <m:rPr>
                    <m:sty m:val="b"/>
                  </m:rPr>
                  <m:t>35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psychological, biographical, and narrative individual alter</m:t>
                </m:r>
              </m:e>
            </m:mr>
            <m:mr>
              <m:e>
                <m:r>
                  <m:rPr>
                    <m:nor/>
                    <m:sty m:val="b"/>
                  </m:rPr>
                  <m:t>Total Integrated Soul Architecture</m:t>
                </m:r>
              </m:e>
              <m:e>
                <m:r>
                  <m:rPr>
                    <m:sty m:val="b"/>
                  </m:rPr>
                  <m:t>100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b"/>
                  </m:rPr>
                  <m:t>The autopoietic living alter sustaining integrated causal power 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Φ</m:t>
                </m:r>
                <m:r>
                  <m:rPr>
                    <m:sty m:val="p"/>
                  </m:rPr>
                  <m:t>)</m:t>
                </m:r>
              </m:e>
            </m:mr>
            <m:mr>
              <m:e/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4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2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2"/>
    <w:bookmarkStart w:id="53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5"/>
    <w:bookmarkStart w:id="60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59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6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7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8">
        <w:r>
          <w:rPr>
            <w:rStyle w:val="VerbatimChar"/>
          </w:rPr>
          <w:t xml:space="preserve">/home/thr/Documents/ThRNotes/03-professional/braindumps/</w:t>
        </w:r>
      </w:hyperlink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58" Target="file:///home/thr/Documents/ThRNotes/03-professional/braindumps/" TargetMode="External" /><Relationship Type="http://schemas.openxmlformats.org/officeDocument/2006/relationships/hyperlink" Id="rId56" Target="file:///home/thr/Documents/The_Conative_Integrative_Framework_Thomas_Riebl.pdf" TargetMode="External" /><Relationship Type="http://schemas.openxmlformats.org/officeDocument/2006/relationships/hyperlink" Id="rId57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file:///home/thr/Documents/ThRNotes/03-professional/braindumps/" TargetMode="External" /><Relationship Type="http://schemas.openxmlformats.org/officeDocument/2006/relationships/hyperlink" Id="rId56" Target="file:///home/thr/Documents/The_Conative_Integrative_Framework_Thomas_Riebl.pdf" TargetMode="External" /><Relationship Type="http://schemas.openxmlformats.org/officeDocument/2006/relationships/hyperlink" Id="rId57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2026-09-01T12:05:39Z</dcterms:created>
  <dcterms:modified xsi:type="dcterms:W3CDTF">2026-09-01T12:05:39Z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