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6"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4"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4"/>
    <w:bookmarkStart w:id="35"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5"/>
    <w:bookmarkEnd w:id="36"/>
    <w:bookmarkStart w:id="42"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7"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7"/>
    <w:bookmarkStart w:id="38"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8"/>
    <w:bookmarkStart w:id="40"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39"/>
      </w:r>
    </w:p>
    <w:p>
      <w:r>
        <w:pict>
          <v:rect style="width:0;height:1.5pt" o:hralign="center" o:hrstd="t" o:hr="t"/>
        </w:pict>
      </w:r>
    </w:p>
    <w:bookmarkEnd w:id="40"/>
    <w:bookmarkStart w:id="41"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1"/>
    <w:bookmarkEnd w:id="42"/>
    <w:bookmarkStart w:id="47" w:name="Xd680ac39b45b34d7ee8a303e0dc6c1c94547dcc"/>
    <w:p>
      <w:pPr>
        <w:pStyle w:val="Heading1"/>
      </w:pPr>
      <w:r>
        <w:t xml:space="preserve">Kapitel 7: Rechnerische Validierung &amp; Stochastische Phasenräume</w:t>
      </w:r>
    </w:p>
    <w:p>
      <w:pPr>
        <w:pStyle w:val="BlockText"/>
      </w:pPr>
      <w:r>
        <w:rPr>
          <w:i/>
          <w:iCs/>
        </w:rPr>
        <w:t xml:space="preserve">„Um zu beweisen, dass temporale Tiefe eine notwendige Bedingung für Bewusstsein ist, müssen wir unsere Agenten täuschenden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3" w:name="das-stochastische-simulationsparadigma"/>
    <w:p>
      <w:pPr>
        <w:pStyle w:val="Heading2"/>
      </w:pPr>
      <w:r>
        <w:t xml:space="preserve">7.1 Das stochastische Simulationsparadigma</w:t>
      </w:r>
    </w:p>
    <w:p>
      <w:pPr>
        <w:pStyle w:val="FirstParagraph"/>
      </w:pPr>
      <w:r>
        <w:t xml:space="preserve">Um die theoretischen Aussagen rechnerisch zu validieren, implementierten wir eine stochastische POMDP-Simulationsumgebung mit täuschenden Belohnungen (</w:t>
      </w:r>
      <w:r>
        <w:rPr>
          <w:i/>
          <w:iCs/>
        </w:rPr>
        <w:t xml:space="preserve">Deceptive Trap</w:t>
      </w:r>
      <w:r>
        <w:t xml:space="preserve">) und epistemischer Ambiguität (</w:t>
      </w:r>
      <w:r>
        <w:rPr>
          <w:i/>
          <w:iCs/>
        </w:rPr>
        <w:t xml:space="preserve">Cue Site</w:t>
      </w:r>
      <w:r>
        <w:t xml:space="preserve">).</w:t>
      </w:r>
    </w:p>
    <w:p>
      <w:pPr>
        <w:pStyle w:val="BodyText"/>
      </w:pPr>
      <w:r>
        <w:t xml:space="preserve">Getestet wurden vier Agenten-Kohorten über ein</w:t>
      </w:r>
      <w:r>
        <w:t xml:space="preserve"> </w:t>
      </w:r>
      <w:r>
        <w:rPr>
          <w:b/>
          <w:bCs/>
        </w:rPr>
        <w:t xml:space="preserve">Monte-Carlo-Ensemble von</w:t>
      </w:r>
      <w:r>
        <w:rPr>
          <w:b/>
          <w:bCs/>
        </w:rPr>
        <w:t xml:space="preserve"> </w:t>
      </w:r>
      <m:oMath>
        <m:r>
          <m:t>N</m:t>
        </m:r>
        <m:r>
          <m:rPr>
            <m:sty m:val="p"/>
          </m:rPr>
          <m:t>=</m:t>
        </m:r>
        <m:r>
          <m:t>30</m:t>
        </m:r>
      </m:oMath>
      <w:r>
        <w:rPr>
          <w:b/>
          <w:bCs/>
        </w:rPr>
        <w:t xml:space="preserve"> </w:t>
      </w:r>
      <w:r>
        <w:rPr>
          <w:b/>
          <w:bCs/>
        </w:rPr>
        <w:t xml:space="preserve">unabhängigen Läufen</w:t>
      </w:r>
      <w:r>
        <w:t xml:space="preserve">:</w:t>
      </w:r>
      <w:r>
        <w:t xml:space="preserve"> </w:t>
      </w:r>
      <w:r>
        <w:t xml:space="preserve">1.</w:t>
      </w:r>
      <w:r>
        <w:t xml:space="preserve"> </w:t>
      </w:r>
      <w:r>
        <w:rPr>
          <w:b/>
          <w:bCs/>
        </w:rPr>
        <w:t xml:space="preserve">Reflex-Agent (</w:t>
      </w:r>
      <m:oMath>
        <m:r>
          <m:t>H</m:t>
        </m:r>
        <m:r>
          <m:rPr>
            <m:sty m:val="p"/>
          </m:rPr>
          <m:t>=</m:t>
        </m:r>
        <m:r>
          <m:t>0</m:t>
        </m:r>
      </m:oMath>
      <w:r>
        <w:rPr>
          <w:b/>
          <w:bCs/>
        </w:rPr>
        <w:t xml:space="preserve">):</w:t>
      </w:r>
      <w:r>
        <w:t xml:space="preserve"> </w:t>
      </w:r>
      <w:r>
        <w:t xml:space="preserve">Reine Reaktivität (</w:t>
      </w:r>
      <m:oMath>
        <m:r>
          <m:t>B</m:t>
        </m:r>
        <m:r>
          <m:rPr>
            <m:sty m:val="p"/>
          </m:rPr>
          <m:t>=</m:t>
        </m:r>
        <m:r>
          <m:t>I</m:t>
        </m:r>
      </m:oMath>
      <w:r>
        <w:t xml:space="preserve">).</w:t>
      </w:r>
      <w:r>
        <w:t xml:space="preserve"> </w:t>
      </w:r>
      <w:r>
        <w:t xml:space="preserve">2.</w:t>
      </w:r>
      <w:r>
        <w:t xml:space="preserve"> </w:t>
      </w:r>
      <w:r>
        <w:rPr>
          <w:b/>
          <w:bCs/>
        </w:rPr>
        <w:t xml:space="preserve">Kurzsichtiger Agent (</w:t>
      </w:r>
      <m:oMath>
        <m:r>
          <m:t>H</m:t>
        </m:r>
        <m:r>
          <m:rPr>
            <m:sty m:val="p"/>
          </m:rPr>
          <m:t>=</m:t>
        </m:r>
        <m:r>
          <m:t>1</m:t>
        </m:r>
      </m:oMath>
      <w:r>
        <w:rPr>
          <w:b/>
          <w:bCs/>
        </w:rPr>
        <w:t xml:space="preserve">):</w:t>
      </w:r>
      <w:r>
        <w:t xml:space="preserve"> </w:t>
      </w:r>
      <w:r>
        <w:t xml:space="preserve">1-Schritt-Vorausschau.</w:t>
      </w:r>
      <w:r>
        <w:t xml:space="preserve"> </w:t>
      </w:r>
      <w:r>
        <w:t xml:space="preserve">3.</w:t>
      </w:r>
      <w:r>
        <w:t xml:space="preserve"> </w:t>
      </w:r>
      <w:r>
        <w:rPr>
          <w:b/>
          <w:bCs/>
        </w:rPr>
        <w:t xml:space="preserve">Mitteltiefer Agent (</w:t>
      </w:r>
      <m:oMath>
        <m:r>
          <m:t>H</m:t>
        </m:r>
        <m:r>
          <m:rPr>
            <m:sty m:val="p"/>
          </m:rPr>
          <m:t>=</m:t>
        </m:r>
        <m:r>
          <m:t>2</m:t>
        </m:r>
      </m:oMath>
      <w:r>
        <w:rPr>
          <w:b/>
          <w:bCs/>
        </w:rPr>
        <w:t xml:space="preserve">):</w:t>
      </w:r>
      <w:r>
        <w:t xml:space="preserve"> </w:t>
      </w:r>
      <w:r>
        <w:t xml:space="preserve">2-Schritt-Planung.</w:t>
      </w:r>
      <w:r>
        <w:t xml:space="preserve"> </w:t>
      </w:r>
      <w:r>
        <w:t xml:space="preserve">4.</w:t>
      </w:r>
      <w:r>
        <w:t xml:space="preserve"> </w:t>
      </w:r>
      <w:r>
        <w:rPr>
          <w:b/>
          <w:bCs/>
        </w:rPr>
        <w:t xml:space="preserve">Tiefer Temporaler Agent (</w:t>
      </w:r>
      <m:oMath>
        <m:r>
          <m:t>H</m:t>
        </m:r>
        <m:r>
          <m:rPr>
            <m:sty m:val="p"/>
          </m:rPr>
          <m:t>=</m:t>
        </m:r>
        <m:r>
          <m:t>4</m:t>
        </m:r>
      </m:oMath>
      <w:r>
        <w:rPr>
          <w:b/>
          <w:bCs/>
        </w:rPr>
        <w:t xml:space="preserve">):</w:t>
      </w:r>
      <w:r>
        <w:t xml:space="preserve"> </w:t>
      </w:r>
      <w:r>
        <w:t xml:space="preserve">Kontrafaktische Handlungsbäume über 4 Zeitschritte.</w:t>
      </w:r>
    </w:p>
    <w:p>
      <w:r>
        <w:pict>
          <v:rect style="width:0;height:1.5pt" o:hralign="center" o:hrstd="t" o:hr="t"/>
        </w:pict>
      </w:r>
    </w:p>
    <w:bookmarkEnd w:id="43"/>
    <w:bookmarkStart w:id="44" w:name="empirische-simulationsergebnisse"/>
    <w:p>
      <w:pPr>
        <w:pStyle w:val="Heading2"/>
      </w:pPr>
      <w:r>
        <w:t xml:space="preserve">7.2 Empirische Simulationsergebnisse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44"/>
    <w:bookmarkStart w:id="46" w:name="visualisierung-der-simulationsergebnisse"/>
    <w:p>
      <w:pPr>
        <w:pStyle w:val="Heading2"/>
      </w:pPr>
      <w:r>
        <w:t xml:space="preserve">7.3 Visualisierung der Simulationsergebnisse</w:t>
      </w:r>
    </w:p>
    <w:tbl>
      <w:tblPr>
        <w:tblStyle w:val="FigureTable"/>
        <w:tblW w:type="auto" w:w="0"/>
        <w:jc w:val="center"/>
        <w:tblLook w:firstRow="0" w:lastRow="0" w:firstColumn="0" w:lastColumn="0"/>
      </w:tblPr>
      <w:tblGrid>
        <w:gridCol w:w="7920"/>
      </w:tblGrid>
      <w:tr>
        <w:tc>
          <w:tcPr/>
          <w:p>
            <w:pPr>
              <w:pStyle w:val="Compact"/>
              <w:jc w:val="center"/>
            </w:pPr>
            <w:r>
              <w:t xml:space="preserve">Simulationsergebnisse zu temporaler Tiefe und 6. Axiom</w:t>
            </w:r>
          </w:p>
        </w:tc>
      </w:tr>
    </w:tbl>
    <w:p>
      <w:pPr>
        <w:pStyle w:val="ImageCaption"/>
      </w:pPr>
      <w:r>
        <w:t xml:space="preserve">Simulationsergebnisse zu temporaler Tiefe und 6. Axiom</w:t>
      </w:r>
    </w:p>
    <w:bookmarkStart w:id="45" w:name="wichtigste-erkenntnisse"/>
    <w:p>
      <w:pPr>
        <w:pStyle w:val="Heading3"/>
      </w:pPr>
      <w:r>
        <w:t xml:space="preserve">Wichtigste Erkenntnisse:</w:t>
      </w:r>
    </w:p>
    <w:p>
      <w:pPr>
        <w:pStyle w:val="Compact"/>
        <w:numPr>
          <w:ilvl w:val="0"/>
          <w:numId w:val="1010"/>
        </w:numPr>
      </w:pPr>
      <w:r>
        <w:rPr>
          <w:b/>
          <w:bCs/>
        </w:rPr>
        <w:t xml:space="preserve">Reaktiver Kausalitätskollaps:</w:t>
      </w:r>
      <w:r>
        <w:t xml:space="preserve"> </w:t>
      </w:r>
      <w:r>
        <w:t xml:space="preserve">Reflex-Agenten (</w:t>
      </w:r>
      <m:oMath>
        <m:r>
          <m:t>H</m:t>
        </m:r>
        <m:r>
          <m:rPr>
            <m:sty m:val="p"/>
          </m:rPr>
          <m:t>=</m:t>
        </m:r>
        <m:r>
          <m:t>0</m:t>
        </m:r>
      </m:oMath>
      <w:r>
        <w:t xml:space="preserve">) fallen zu</w:t>
      </w:r>
      <w:r>
        <w:t xml:space="preserve"> </w:t>
      </w:r>
      <m:oMath>
        <m:r>
          <m:t>63.3</m:t>
        </m:r>
        <m:r>
          <m:rPr>
            <m:sty m:val="p"/>
          </m:rPr>
          <m:t>%</m:t>
        </m:r>
      </m:oMath>
      <w:r>
        <w:t xml:space="preserve"> </w:t>
      </w:r>
      <w:r>
        <w:t xml:space="preserve">der täuschenden Belohnung zum Opfer und stürzen in den Kausalitäts- und Überlebenstod (</w:t>
      </w:r>
      <m:oMath>
        <m:r>
          <m:rPr>
            <m:sty m:val="p"/>
          </m:rPr>
          <m:t>Φ</m:t>
        </m:r>
        <m:r>
          <m:rPr>
            <m:sty m:val="p"/>
          </m:rPr>
          <m:t>→</m:t>
        </m:r>
        <m:r>
          <m:t>0</m:t>
        </m:r>
      </m:oMath>
      <w:r>
        <w:t xml:space="preserve">).</w:t>
      </w:r>
    </w:p>
    <w:p>
      <w:pPr>
        <w:pStyle w:val="Compact"/>
        <w:numPr>
          <w:ilvl w:val="0"/>
          <w:numId w:val="1010"/>
        </w:numPr>
      </w:pPr>
      <w:r>
        <w:rPr>
          <w:b/>
          <w:bCs/>
        </w:rPr>
        <w:t xml:space="preserve">Epistemischer Umweg:</w:t>
      </w:r>
      <w:r>
        <w:t xml:space="preserve"> </w:t>
      </w:r>
      <w:r>
        <w:t xml:space="preserve">Tiefe temporale Agenten (</w:t>
      </w:r>
      <m:oMath>
        <m:r>
          <m:t>H</m:t>
        </m:r>
        <m:r>
          <m:rPr>
            <m:sty m:val="p"/>
          </m:rPr>
          <m:t>=</m:t>
        </m:r>
        <m:r>
          <m:t>4</m:t>
        </m:r>
      </m:oMath>
      <w:r>
        <w:t xml:space="preserve">) wählen zu</w:t>
      </w:r>
      <w:r>
        <w:t xml:space="preserve"> </w:t>
      </w:r>
      <m:oMath>
        <m:r>
          <m:t>100</m:t>
        </m:r>
        <m:r>
          <m:rPr>
            <m:sty m:val="p"/>
          </m:rPr>
          <m:t>%</m:t>
        </m:r>
      </m:oMath>
      <w:r>
        <w:t xml:space="preserve"> </w:t>
      </w:r>
      <w:r>
        <w:t xml:space="preserve">proaktiv einen epistemischen Umweg zur Hinweis-Quelle (</w:t>
      </w:r>
      <w:r>
        <w:rPr>
          <w:i/>
          <w:iCs/>
        </w:rPr>
        <w:t xml:space="preserve">Cue</w:t>
      </w:r>
      <w:r>
        <w:t xml:space="preserve">), lösen die Umweltunsicherheit auf und sichern maximale Kausalkonstanz (</w:t>
      </w:r>
      <m:oMath>
        <m:r>
          <m:rPr>
            <m:sty m:val="p"/>
          </m:rPr>
          <m:t>Φ</m:t>
        </m:r>
        <m:r>
          <m:rPr>
            <m:sty m:val="p"/>
          </m:rPr>
          <m:t>≈</m:t>
        </m:r>
        <m:r>
          <m:t>0.184</m:t>
        </m:r>
      </m:oMath>
      <w:r>
        <w:t xml:space="preserve">).</w:t>
      </w:r>
    </w:p>
    <w:bookmarkEnd w:id="45"/>
    <w:bookmarkEnd w:id="46"/>
    <w:bookmarkEnd w:id="47"/>
    <w:bookmarkStart w:id="52"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48"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48"/>
    <w:bookmarkStart w:id="49"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1"/>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1"/>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1"/>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1"/>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49"/>
    <w:bookmarkStart w:id="50"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50"/>
    <w:bookmarkStart w:id="51"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51"/>
    <w:bookmarkEnd w:id="52"/>
    <w:bookmarkStart w:id="61" w:name="Xb6253ae800693db45b886bd1c8c9d69bdc31d64"/>
    <w:p>
      <w:pPr>
        <w:pStyle w:val="Heading1"/>
      </w:pPr>
      <w:r>
        <w:t xml:space="preserve">Kapitel 9: Mathematischer Anhang, Quellcode &amp; Bibliographie</w:t>
      </w:r>
    </w:p>
    <w:p>
      <w:r>
        <w:pict>
          <v:rect style="width:0;height:1.5pt" o:hralign="center" o:hrstd="t" o:hr="t"/>
        </w:pict>
      </w:r>
    </w:p>
    <w:bookmarkStart w:id="57" w:name="anhang-a-mathematische-formalismen"/>
    <w:p>
      <w:pPr>
        <w:pStyle w:val="Heading2"/>
      </w:pPr>
      <w:r>
        <w:t xml:space="preserve">Anhang A: Mathematische Formalismen</w:t>
      </w:r>
    </w:p>
    <w:bookmarkStart w:id="53" w:name="das-pomdp-tupel"/>
    <w:p>
      <w:pPr>
        <w:pStyle w:val="Heading3"/>
      </w:pPr>
      <w:r>
        <w:t xml:space="preserve">1. Das POMDP-Tupel</w:t>
      </w:r>
    </w:p>
    <w:p>
      <w:pPr>
        <w:pStyle w:val="FirstParagraph"/>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2"/>
        </w:numPr>
      </w:pPr>
      <w:r>
        <w:rPr>
          <w:b/>
          <w:bCs/>
        </w:rPr>
        <w:t xml:space="preserve">Likelihood:</w:t>
      </w:r>
      <w:r>
        <w:t xml:space="preserve"> </w:t>
      </w:r>
      <m:oMath>
        <m:r>
          <m:t>A</m:t>
        </m:r>
        <m:r>
          <m:rPr>
            <m:sty m:val="p"/>
          </m:rPr>
          <m:t>=</m:t>
        </m:r>
        <m:r>
          <m:t>P</m:t>
        </m:r>
        <m:r>
          <m:rPr>
            <m:sty m:val="p"/>
          </m:rPr>
          <m:t>(</m:t>
        </m:r>
        <m:sSub>
          <m:e>
            <m:r>
              <m:t>o</m:t>
            </m:r>
          </m:e>
          <m:sub>
            <m:r>
              <m:t>τ</m:t>
            </m:r>
          </m:sub>
        </m:sSub>
        <m:r>
          <m:rPr>
            <m:sty m:val="p"/>
          </m:rPr>
          <m:t>∣</m:t>
        </m:r>
        <m:sSub>
          <m:e>
            <m:r>
              <m:t>s</m:t>
            </m:r>
          </m:e>
          <m:sub>
            <m:r>
              <m:t>τ</m:t>
            </m:r>
          </m:sub>
        </m:sSub>
        <m:r>
          <m:rPr>
            <m:sty m:val="p"/>
          </m:rPr>
          <m:t>)</m:t>
        </m:r>
        <m:r>
          <m:rPr>
            <m:sty m:val="p"/>
          </m:rPr>
          <m:t>∈</m:t>
        </m:r>
        <m:sSup>
          <m:e>
            <m:r>
              <m:rPr>
                <m:scr m:val="double-struck"/>
                <m:sty m:val="p"/>
              </m:rPr>
              <m:t>R</m:t>
            </m:r>
          </m:e>
          <m:sup>
            <m:sSub>
              <m:e>
                <m:r>
                  <m:t>N</m:t>
                </m:r>
              </m:e>
              <m:sub>
                <m:r>
                  <m:t>o</m:t>
                </m:r>
              </m:sub>
            </m:sSub>
            <m:r>
              <m:rPr>
                <m:sty m:val="p"/>
              </m:rPr>
              <m:t>×</m:t>
            </m:r>
            <m:sSub>
              <m:e>
                <m:r>
                  <m:t>N</m:t>
                </m:r>
              </m:e>
              <m:sub>
                <m:r>
                  <m:t>s</m:t>
                </m:r>
              </m:sub>
            </m:sSub>
          </m:sup>
        </m:sSup>
      </m:oMath>
    </w:p>
    <w:p>
      <w:pPr>
        <w:pStyle w:val="Compact"/>
        <w:numPr>
          <w:ilvl w:val="0"/>
          <w:numId w:val="1012"/>
        </w:numPr>
      </w:pPr>
      <w:r>
        <w:rPr>
          <w:b/>
          <w:bCs/>
        </w:rPr>
        <w:t xml:space="preserve">Übergangstensor:</w:t>
      </w:r>
      <w:r>
        <w:t xml:space="preserve"> </w:t>
      </w:r>
      <m:oMath>
        <m:r>
          <m:t>B</m:t>
        </m:r>
        <m:r>
          <m:rPr>
            <m:sty m:val="p"/>
          </m:rPr>
          <m:t>=</m:t>
        </m:r>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p>
    <w:p>
      <w:pPr>
        <w:pStyle w:val="Compact"/>
        <w:numPr>
          <w:ilvl w:val="0"/>
          <w:numId w:val="1012"/>
        </w:numPr>
      </w:pPr>
      <w:r>
        <w:rPr>
          <w:b/>
          <w:bCs/>
        </w:rPr>
        <w:t xml:space="preserve">Präferenzen:</w:t>
      </w:r>
      <w:r>
        <w:t xml:space="preserve"> </w:t>
      </w:r>
      <m:oMath>
        <m:r>
          <m:t>C</m:t>
        </m:r>
        <m:r>
          <m:rPr>
            <m:sty m:val="p"/>
          </m:rPr>
          <m:t>=</m:t>
        </m:r>
        <m:r>
          <m:rPr>
            <m:sty m:val="p"/>
          </m:rPr>
          <m:t>ln</m:t>
        </m:r>
        <m:r>
          <m:t>P</m:t>
        </m:r>
        <m:r>
          <m:rPr>
            <m:sty m:val="p"/>
          </m:rPr>
          <m:t>(</m:t>
        </m:r>
        <m:r>
          <m:t>o</m:t>
        </m:r>
        <m:r>
          <m:rPr>
            <m:sty m:val="p"/>
          </m:rPr>
          <m:t>)</m:t>
        </m:r>
        <m:r>
          <m:rPr>
            <m:sty m:val="p"/>
          </m:rPr>
          <m:t>∈</m:t>
        </m:r>
        <m:sSup>
          <m:e>
            <m:r>
              <m:rPr>
                <m:scr m:val="double-struck"/>
                <m:sty m:val="p"/>
              </m:rPr>
              <m:t>R</m:t>
            </m:r>
          </m:e>
          <m:sup>
            <m:sSub>
              <m:e>
                <m:r>
                  <m:t>N</m:t>
                </m:r>
              </m:e>
              <m:sub>
                <m:r>
                  <m:t>o</m:t>
                </m:r>
              </m:sub>
            </m:sSub>
          </m:sup>
        </m:sSup>
      </m:oMath>
    </w:p>
    <w:p>
      <w:pPr>
        <w:pStyle w:val="Compact"/>
        <w:numPr>
          <w:ilvl w:val="0"/>
          <w:numId w:val="1012"/>
        </w:numPr>
      </w:pPr>
      <w:r>
        <w:rPr>
          <w:b/>
          <w:bCs/>
        </w:rPr>
        <w:t xml:space="preserve">Startverteilung:</w:t>
      </w:r>
      <w:r>
        <w:t xml:space="preserve"> </w:t>
      </w:r>
      <m:oMath>
        <m:r>
          <m:t>D</m:t>
        </m:r>
        <m:r>
          <m:rPr>
            <m:sty m:val="p"/>
          </m:rPr>
          <m:t>=</m:t>
        </m:r>
        <m:r>
          <m:t>P</m:t>
        </m:r>
        <m:r>
          <m:rPr>
            <m:sty m:val="p"/>
          </m:rPr>
          <m:t>(</m:t>
        </m:r>
        <m:sSub>
          <m:e>
            <m:r>
              <m:t>s</m:t>
            </m:r>
          </m:e>
          <m:sub>
            <m:r>
              <m:t>1</m:t>
            </m:r>
          </m:sub>
        </m:sSub>
        <m:r>
          <m:rPr>
            <m:sty m:val="p"/>
          </m:rPr>
          <m:t>)</m:t>
        </m:r>
        <m:r>
          <m:rPr>
            <m:sty m:val="p"/>
          </m:rPr>
          <m:t>∈</m:t>
        </m:r>
        <m:sSup>
          <m:e>
            <m:r>
              <m:rPr>
                <m:scr m:val="double-struck"/>
                <m:sty m:val="p"/>
              </m:rPr>
              <m:t>R</m:t>
            </m:r>
          </m:e>
          <m:sup>
            <m:sSub>
              <m:e>
                <m:r>
                  <m:t>N</m:t>
                </m:r>
              </m:e>
              <m:sub>
                <m:r>
                  <m:t>s</m:t>
                </m:r>
              </m:sub>
            </m:sSub>
          </m:sup>
        </m:sSup>
      </m:oMath>
    </w:p>
    <w:bookmarkEnd w:id="53"/>
    <w:bookmarkStart w:id="54" w:name="zustandsschätzung-perzeptuelle-inferenz"/>
    <w:p>
      <w:pPr>
        <w:pStyle w:val="Heading3"/>
      </w:pPr>
      <w:r>
        <w:t xml:space="preserve">2. Zustandsschätzung (Perzeptuelle Inferenz)</w:t>
      </w:r>
    </w:p>
    <w:p>
      <w:pPr>
        <w:pStyle w:val="FirstParagraph"/>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bookmarkEnd w:id="54"/>
    <w:bookmarkStart w:id="55" w:name="X6dd83cadc39ed38ff9054e5083a54116c08091a"/>
    <w:p>
      <w:pPr>
        <w:pStyle w:val="Heading3"/>
      </w:pPr>
      <w:r>
        <w:t xml:space="preserve">3. Erwartete Freie Energie (</w:t>
      </w:r>
      <m:oMath>
        <m:r>
          <m:rPr>
            <m:sty m:val="b"/>
          </m:rPr>
          <m:t>G</m:t>
        </m:r>
      </m:oMath>
      <w:r>
        <w:t xml:space="preserve">) über Horizont</w:t>
      </w:r>
      <w:r>
        <w:t xml:space="preserve"> </w:t>
      </w:r>
      <m:oMath>
        <m:r>
          <m:t>H</m:t>
        </m:r>
      </m:oMath>
    </w:p>
    <w:p>
      <w:pPr>
        <w:pStyle w:val="FirstParagraph"/>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r>
            <m:rPr>
              <m:sty m:val="p"/>
            </m:rPr>
            <m:t>+</m:t>
          </m:r>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oMath>
      </m:oMathPara>
    </w:p>
    <w:bookmarkEnd w:id="55"/>
    <w:bookmarkStart w:id="56"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r>
        <w:pict>
          <v:rect style="width:0;height:1.5pt" o:hralign="center" o:hrstd="t" o:hr="t"/>
        </w:pict>
      </w:r>
    </w:p>
    <w:bookmarkEnd w:id="56"/>
    <w:bookmarkEnd w:id="57"/>
    <w:bookmarkStart w:id="58" w:name="X2528ce34b9c1bf90eb311fb2a0e80dcfd813869"/>
    <w:p>
      <w:pPr>
        <w:pStyle w:val="Heading2"/>
      </w:pPr>
      <w:r>
        <w:t xml:space="preserve">Anhang B: Alphabetisches Glossar der Fachbegriffe</w:t>
      </w:r>
    </w:p>
    <w:p>
      <w:pPr>
        <w:pStyle w:val="Compact"/>
        <w:numPr>
          <w:ilvl w:val="0"/>
          <w:numId w:val="1013"/>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13"/>
        </w:numPr>
      </w:pPr>
      <w:r>
        <w:rPr>
          <w:b/>
          <w:bCs/>
        </w:rPr>
        <w:t xml:space="preserve">Alter (Dissoziiertes Bewusstseinszentrum):</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13"/>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13"/>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13"/>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w:t>
      </w:r>
    </w:p>
    <w:p>
      <w:pPr>
        <w:pStyle w:val="Compact"/>
        <w:numPr>
          <w:ilvl w:val="0"/>
          <w:numId w:val="1013"/>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13"/>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13"/>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13"/>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13"/>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13"/>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13"/>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13"/>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13"/>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13"/>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13"/>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13"/>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13"/>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13"/>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13"/>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13"/>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13"/>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13"/>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p>
      <w:r>
        <w:pict>
          <v:rect style="width:0;height:1.5pt" o:hralign="center" o:hrstd="t" o:hr="t"/>
        </w:pict>
      </w:r>
    </w:p>
    <w:bookmarkEnd w:id="58"/>
    <w:bookmarkStart w:id="59" w:name="akademische-bibliographie-auswahl"/>
    <w:p>
      <w:pPr>
        <w:pStyle w:val="Heading2"/>
      </w:pPr>
      <w:r>
        <w:t xml:space="preserve">Akademische Bibliographie (Auswahl)</w:t>
      </w:r>
    </w:p>
    <w:p>
      <w:pPr>
        <w:pStyle w:val="Compact"/>
        <w:numPr>
          <w:ilvl w:val="0"/>
          <w:numId w:val="1014"/>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14"/>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14"/>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14"/>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14"/>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14"/>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14"/>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14"/>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14"/>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14"/>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14"/>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14"/>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14"/>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14"/>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14"/>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14"/>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14"/>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14"/>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14"/>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14"/>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14"/>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14"/>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14"/>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14"/>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14"/>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14"/>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14"/>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14"/>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14"/>
        </w:numPr>
      </w:pPr>
      <w:r>
        <w:rPr>
          <w:b/>
          <w:bCs/>
        </w:rPr>
        <w:t xml:space="preserve">Spinoza, B. (1677).</w:t>
      </w:r>
      <w:r>
        <w:t xml:space="preserve"> </w:t>
      </w:r>
      <w:r>
        <w:rPr>
          <w:i/>
          <w:iCs/>
        </w:rPr>
        <w:t xml:space="preserve">Ethica, ordine geometrico demonstrata.</w:t>
      </w:r>
    </w:p>
    <w:p>
      <w:pPr>
        <w:pStyle w:val="Compact"/>
        <w:numPr>
          <w:ilvl w:val="0"/>
          <w:numId w:val="1014"/>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14"/>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14"/>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p>
      <w:r>
        <w:pict>
          <v:rect style="width:0;height:1.5pt" o:hralign="center" o:hrstd="t" o:hr="t"/>
        </w:pict>
      </w:r>
    </w:p>
    <w:bookmarkEnd w:id="59"/>
    <w:bookmarkStart w:id="60" w:name="tool-attribution-colophon"/>
    <w:p>
      <w:pPr>
        <w:pStyle w:val="Heading2"/>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2026-09-03T12:24:45Z</dcterms:created>
  <dcterms:modified xsi:type="dcterms:W3CDTF">2026-09-03T12:24:45Z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