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9.png" ContentType="image/png"/>
  <Override PartName="/word/media/rId16.png" ContentType="image/png"/>
  <Override PartName="/word/media/rId22.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71904465003dbbe6e55a84ec2c0ae20b9458ba"/>
    <w:p>
      <w:pPr>
        <w:pStyle w:val="Heading1"/>
      </w:pPr>
      <w:r>
        <w:t xml:space="preserve">The Computational Grounding of My Ontology</w:t>
      </w:r>
    </w:p>
    <w:bookmarkStart w:id="12" w:name="X8c23e84306441c8e7ed7291b8251771510d7fe8"/>
    <w:p>
      <w:pPr>
        <w:pStyle w:val="Heading2"/>
      </w:pPr>
      <w:r>
        <w:t xml:space="preserve">How Active Inference Networks, Integrated Information (</w:t>
      </w:r>
      <m:oMath>
        <m:r>
          <m:rPr>
            <m:sty m:val="p"/>
          </m:rPr>
          <m:t>Φ</m:t>
        </m:r>
      </m:oMath>
      <w:r>
        <w:t xml:space="preserve">), and the 6th Axiom Fit Together to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Framework:</w:t>
      </w:r>
      <w:r>
        <w:t xml:space="preserve"> </w:t>
      </w:r>
      <w:r>
        <w:t xml:space="preserve">The 5-Pillar Transcendental Synthesis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omputational_grounding/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hyperlink w:anchor="executive-summary--theoretical-thesis">
        <w:r>
          <w:rPr>
            <w:rStyle w:val="Hyperlink"/>
          </w:rPr>
          <w:t xml:space="preserve">Executive Summary &amp; Theoretical Thesis</w:t>
        </w:r>
      </w:hyperlink>
    </w:p>
    <w:p>
      <w:pPr>
        <w:pStyle w:val="Compact"/>
        <w:numPr>
          <w:ilvl w:val="0"/>
          <w:numId w:val="1001"/>
        </w:numPr>
      </w:pPr>
      <w:hyperlink w:anchor="X82d205079ecb60e821484a0228f7da8dd465d68">
        <w:r>
          <w:rPr>
            <w:rStyle w:val="Hyperlink"/>
          </w:rPr>
          <w:t xml:space="preserve">1. The 1st-Person / 3rd-Person Equivalence: Friston Meets Tononi &amp; Riebl</w:t>
        </w:r>
      </w:hyperlink>
    </w:p>
    <w:p>
      <w:pPr>
        <w:pStyle w:val="Compact"/>
        <w:numPr>
          <w:ilvl w:val="0"/>
          <w:numId w:val="1001"/>
        </w:numPr>
      </w:pPr>
      <w:hyperlink w:anchor="Xb61d84f24956df2d66d4c2644a48d421d80e68c">
        <w:r>
          <w:rPr>
            <w:rStyle w:val="Hyperlink"/>
          </w:rPr>
          <w:t xml:space="preserve">2. The Mechanism of Dissociation in Analytic Idealism</w:t>
        </w:r>
      </w:hyperlink>
    </w:p>
    <w:p>
      <w:pPr>
        <w:pStyle w:val="Compact"/>
        <w:numPr>
          <w:ilvl w:val="0"/>
          <w:numId w:val="1001"/>
        </w:numPr>
      </w:pPr>
      <w:hyperlink w:anchor="Xee27f53220529903137ba2c40a7d54c39108dfd">
        <w:r>
          <w:rPr>
            <w:rStyle w:val="Hyperlink"/>
          </w:rPr>
          <w:t xml:space="preserve">3. Demolishing the Paradox of</w:t>
        </w:r>
        <w:r>
          <w:rPr>
            <w:rStyle w:val="Hyperlink"/>
          </w:rPr>
          <w:t xml:space="preserve"> </w:t>
        </w:r>
        <w:r>
          <w:rPr>
            <w:rStyle w:val="Hyperlink"/>
          </w:rPr>
          <w:t xml:space="preserve">“Transient Causal Phantoms”</w:t>
        </w:r>
      </w:hyperlink>
    </w:p>
    <w:p>
      <w:pPr>
        <w:pStyle w:val="Compact"/>
        <w:numPr>
          <w:ilvl w:val="0"/>
          <w:numId w:val="1001"/>
        </w:numPr>
      </w:pPr>
      <w:hyperlink w:anchor="X968659e8830d836ca9d5b500f5178fb15979639">
        <w:r>
          <w:rPr>
            <w:rStyle w:val="Hyperlink"/>
          </w:rPr>
          <w:t xml:space="preserve">4. The Epistemology of Self-Inquiry: Metzinger, Roth, and the Mirror of Mind</w:t>
        </w:r>
      </w:hyperlink>
    </w:p>
    <w:p>
      <w:pPr>
        <w:pStyle w:val="Compact"/>
        <w:numPr>
          <w:ilvl w:val="0"/>
          <w:numId w:val="1001"/>
        </w:numPr>
      </w:pPr>
      <w:hyperlink w:anchor="Xef4346ae1a20420f4e608f71a098cf567427e82">
        <w:r>
          <w:rPr>
            <w:rStyle w:val="Hyperlink"/>
          </w:rPr>
          <w:t xml:space="preserve">5. Computational and Experimental Validation</w:t>
        </w:r>
      </w:hyperlink>
    </w:p>
    <w:p>
      <w:pPr>
        <w:pStyle w:val="Compact"/>
        <w:numPr>
          <w:ilvl w:val="0"/>
          <w:numId w:val="1001"/>
        </w:numPr>
      </w:pPr>
      <w:hyperlink w:anchor="X79ae71bbe89eaa2c77ce6919e0f8668a553af5e">
        <w:r>
          <w:rPr>
            <w:rStyle w:val="Hyperlink"/>
          </w:rPr>
          <w:t xml:space="preserve">6. Conclusion: The Unified Science of Mind</w:t>
        </w:r>
      </w:hyperlink>
    </w:p>
    <w:p>
      <w:pPr>
        <w:pStyle w:val="Compact"/>
        <w:numPr>
          <w:ilvl w:val="0"/>
          <w:numId w:val="1001"/>
        </w:numPr>
      </w:pPr>
      <w:hyperlink w:anchor="X12b8c24ff07f4715474ee8e08480e3657266d8f">
        <w:r>
          <w:rPr>
            <w:rStyle w:val="Hyperlink"/>
          </w:rPr>
          <w:t xml:space="preserve">7. References &amp; Academic Bibliography</w:t>
        </w:r>
      </w:hyperlink>
    </w:p>
    <w:p>
      <w:pPr>
        <w:pStyle w:val="Compact"/>
        <w:numPr>
          <w:ilvl w:val="0"/>
          <w:numId w:val="1001"/>
        </w:numPr>
      </w:pPr>
      <w:hyperlink w:anchor="X104d46987186aa5bae9f91b004cc1484b8f45fc">
        <w:r>
          <w:rPr>
            <w:rStyle w:val="Hyperlink"/>
          </w:rPr>
          <w:t xml:space="preserve">8. Tool Attribution &amp; Colophon</w:t>
        </w:r>
      </w:hyperlink>
    </w:p>
    <w:p>
      <w:r>
        <w:pict>
          <v:rect style="width:0;height:1.5pt" o:hralign="center" o:hrstd="t" o:hr="t"/>
        </w:pict>
      </w:r>
    </w:p>
    <w:bookmarkEnd w:id="13"/>
    <w:bookmarkStart w:id="15"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Thomas Riebl’s 5-Pillar Ontology</w:t>
      </w:r>
      <w:r>
        <w:t xml:space="preserve">.</w:t>
      </w:r>
    </w:p>
    <w:bookmarkStart w:id="14" w:name="the-core-breakthrough"/>
    <w:p>
      <w:pPr>
        <w:pStyle w:val="Heading3"/>
      </w:pPr>
      <w:r>
        <w:t xml:space="preserve">The Core Breakthrough:</w:t>
      </w:r>
    </w:p>
    <w:p>
      <w:pPr>
        <w:pStyle w:val="Compact"/>
        <w:numPr>
          <w:ilvl w:val="0"/>
          <w:numId w:val="1002"/>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2"/>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4"/>
    <w:bookmarkEnd w:id="15"/>
    <w:bookmarkStart w:id="21" w:name="X741a1401dce01ac86d9292967b8d17deebce096"/>
    <w:p>
      <w:pPr>
        <w:pStyle w:val="Heading2"/>
      </w:pPr>
      <w:r>
        <w:t xml:space="preserve">1. The 1st-Person / 3rd-Person Equivalence: Friston Meets Tononi &amp; Riebl</w:t>
      </w:r>
    </w:p>
    <w:p>
      <w:pPr>
        <w:pStyle w:val="CaptionedFigure"/>
      </w:pPr>
      <w:r>
        <w:drawing>
          <wp:inline>
            <wp:extent cx="5334000" cy="3461247"/>
            <wp:effectExtent b="0" l="0" r="0" t="0"/>
            <wp:docPr descr="Diagram 2" title="" id="17" name="Picture"/>
            <a:graphic>
              <a:graphicData uri="http://schemas.openxmlformats.org/drawingml/2006/picture">
                <pic:pic>
                  <pic:nvPicPr>
                    <pic:cNvPr descr="/tmp/docx_diagrams_computational_grounding/diagram_1.png" id="18" name="Picture"/>
                    <pic:cNvPicPr>
                      <a:picLocks noChangeArrowheads="1" noChangeAspect="1"/>
                    </pic:cNvPicPr>
                  </pic:nvPicPr>
                  <pic:blipFill>
                    <a:blip r:embed="rId16"/>
                    <a:stretch>
                      <a:fillRect/>
                    </a:stretch>
                  </pic:blipFill>
                  <pic:spPr bwMode="auto">
                    <a:xfrm>
                      <a:off x="0" y="0"/>
                      <a:ext cx="5334000" cy="3461247"/>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 Ontology, they are</w:t>
      </w:r>
      <w:r>
        <w:t xml:space="preserve"> </w:t>
      </w:r>
      <w:r>
        <w:rPr>
          <w:b/>
          <w:bCs/>
        </w:rPr>
        <w:t xml:space="preserve">two complementary descriptions of the exact same reality</w:t>
      </w:r>
      <w:r>
        <w:t xml:space="preserve">:</w:t>
      </w:r>
    </w:p>
    <w:bookmarkStart w:id="19" w:name="the-mathematical-mapping"/>
    <w:p>
      <w:pPr>
        <w:pStyle w:val="Heading3"/>
      </w:pPr>
      <w:r>
        <w:t xml:space="preserve">The Mathematical Mapping:</w:t>
      </w:r>
    </w:p>
    <w:p>
      <w:pPr>
        <w:pStyle w:val="Compact"/>
        <w:numPr>
          <w:ilvl w:val="0"/>
          <w:numId w:val="1003"/>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3"/>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9"/>
    <w:bookmarkStart w:id="20"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20"/>
    <w:bookmarkEnd w:id="21"/>
    <w:bookmarkStart w:id="26"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3" name="Picture"/>
            <a:graphic>
              <a:graphicData uri="http://schemas.openxmlformats.org/drawingml/2006/picture">
                <pic:pic>
                  <pic:nvPicPr>
                    <pic:cNvPr descr="/tmp/docx_diagrams_computational_grounding/diagram_2.png" id="24" name="Picture"/>
                    <pic:cNvPicPr>
                      <a:picLocks noChangeArrowheads="1" noChangeAspect="1"/>
                    </pic:cNvPicPr>
                  </pic:nvPicPr>
                  <pic:blipFill>
                    <a:blip r:embed="rId22"/>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5" w:name="the-three-regimes-of-coupling"/>
    <w:p>
      <w:pPr>
        <w:pStyle w:val="Heading3"/>
      </w:pPr>
      <w:r>
        <w:t xml:space="preserve">The Three Regimes of Coupling:</w:t>
      </w:r>
    </w:p>
    <w:p>
      <w:pPr>
        <w:pStyle w:val="Compact"/>
        <w:numPr>
          <w:ilvl w:val="0"/>
          <w:numId w:val="1004"/>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4"/>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4"/>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5"/>
    <w:bookmarkEnd w:id="26"/>
    <w:bookmarkStart w:id="31"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8" name="Picture"/>
            <a:graphic>
              <a:graphicData uri="http://schemas.openxmlformats.org/drawingml/2006/picture">
                <pic:pic>
                  <pic:nvPicPr>
                    <pic:cNvPr descr="/tmp/docx_diagrams_computational_grounding/diagram_3.png" id="29" name="Picture"/>
                    <pic:cNvPicPr>
                      <a:picLocks noChangeArrowheads="1" noChangeAspect="1"/>
                    </pic:cNvPicPr>
                  </pic:nvPicPr>
                  <pic:blipFill>
                    <a:blip r:embed="rId27"/>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30" w:name="the-resolution-by-the-6th-axiom"/>
    <w:p>
      <w:pPr>
        <w:pStyle w:val="Heading3"/>
      </w:pPr>
      <w:r>
        <w:t xml:space="preserve">The Resolution by the 6th Axiom:</w:t>
      </w:r>
    </w:p>
    <w:p>
      <w:pPr>
        <w:pStyle w:val="Compact"/>
        <w:numPr>
          <w:ilvl w:val="0"/>
          <w:numId w:val="1005"/>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5"/>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30"/>
    <w:bookmarkEnd w:id="31"/>
    <w:bookmarkStart w:id="35"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Thomas Riebl’s synthesis,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3" name="Picture"/>
            <a:graphic>
              <a:graphicData uri="http://schemas.openxmlformats.org/drawingml/2006/picture">
                <pic:pic>
                  <pic:nvPicPr>
                    <pic:cNvPr descr="/tmp/docx_diagrams_computational_grounding/diagram_4.png" id="34" name="Picture"/>
                    <pic:cNvPicPr>
                      <a:picLocks noChangeArrowheads="1" noChangeAspect="1"/>
                    </pic:cNvPicPr>
                  </pic:nvPicPr>
                  <pic:blipFill>
                    <a:blip r:embed="rId32"/>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6"/>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6"/>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6"/>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5"/>
    <w:bookmarkStart w:id="40"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7" name="Picture"/>
            <a:graphic>
              <a:graphicData uri="http://schemas.openxmlformats.org/drawingml/2006/picture">
                <pic:pic>
                  <pic:nvPicPr>
                    <pic:cNvPr descr="/home/thr/Documents/active-inference-phi-network/images/active_inference_phi_results.png" id="38" name="Picture"/>
                    <pic:cNvPicPr>
                      <a:picLocks noChangeArrowheads="1" noChangeAspect="1"/>
                    </pic:cNvPicPr>
                  </pic:nvPicPr>
                  <pic:blipFill>
                    <a:blip r:embed="rId3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9" w:name="summary-of-empirical-metrics"/>
    <w:p>
      <w:pPr>
        <w:pStyle w:val="Heading3"/>
      </w:pPr>
      <w:r>
        <w:t xml:space="preserve">Summary of Empirical Metrics:</w:t>
      </w:r>
    </w:p>
    <w:p>
      <w:pPr>
        <w:pStyle w:val="Compact"/>
        <w:numPr>
          <w:ilvl w:val="0"/>
          <w:numId w:val="1007"/>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7"/>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7"/>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9"/>
    <w:bookmarkEnd w:id="40"/>
    <w:bookmarkStart w:id="41" w:name="conclusion-the-unified-science-of-mind"/>
    <w:p>
      <w:pPr>
        <w:pStyle w:val="Heading2"/>
      </w:pPr>
      <w:r>
        <w:t xml:space="preserve">6. Conclusion: The Unified Science of Mind</w:t>
      </w:r>
    </w:p>
    <w:p>
      <w:pPr>
        <w:pStyle w:val="FirstParagraph"/>
      </w:pPr>
      <w:r>
        <w:t xml:space="preserve">Thomas Riebl’s Ontology 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Synthesis</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this work 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End w:id="41"/>
    <w:bookmarkStart w:id="42" w:name="references-academic-bibliography"/>
    <w:p>
      <w:pPr>
        <w:pStyle w:val="Heading2"/>
      </w:pPr>
      <w:r>
        <w:t xml:space="preserve">7. References &amp; Academic Bibliography</w:t>
      </w:r>
    </w:p>
    <w:p>
      <w:pPr>
        <w:pStyle w:val="Compact"/>
        <w:numPr>
          <w:ilvl w:val="0"/>
          <w:numId w:val="1008"/>
        </w:numPr>
      </w:pPr>
      <w:r>
        <w:rPr>
          <w:b/>
          <w:bCs/>
        </w:rPr>
        <w:t xml:space="preserve">Albantakis, L., Barbosa, L., Findlay, G., Grasso, M., Haun, A. M., Marshall, W., Mayner, W. G., Saeed, A. B., &amp; Tononi, G.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08"/>
        </w:numPr>
      </w:pPr>
      <w:r>
        <w:rPr>
          <w:b/>
          <w:bCs/>
        </w:rPr>
        <w:t xml:space="preserve">Barrett, A. B., &amp; Seth, A. K. (2011).</w:t>
      </w:r>
      <w:r>
        <w:t xml:space="preserve"> </w:t>
      </w:r>
      <w:r>
        <w:rPr>
          <w:i/>
          <w:iCs/>
        </w:rPr>
        <w:t xml:space="preserve">Practical measures of integrated information for time-series data.</w:t>
      </w:r>
      <w:r>
        <w:t xml:space="preserve"> </w:t>
      </w:r>
      <w:r>
        <w:t xml:space="preserve">PLoS Computational Biology, 7(1), e1001052.</w:t>
      </w:r>
    </w:p>
    <w:p>
      <w:pPr>
        <w:pStyle w:val="Compact"/>
        <w:numPr>
          <w:ilvl w:val="0"/>
          <w:numId w:val="1008"/>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08"/>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08"/>
        </w:numPr>
      </w:pPr>
      <w:r>
        <w:rPr>
          <w:b/>
          <w:bCs/>
        </w:rPr>
        <w:t xml:space="preserve">Kastrup, B. (2018).</w:t>
      </w:r>
      <w:r>
        <w:t xml:space="preserve"> </w:t>
      </w:r>
      <w:r>
        <w:rPr>
          <w:i/>
          <w:iCs/>
        </w:rPr>
        <w:t xml:space="preserve">Making Sense of the Mind-Body Relation: Why Dual-Aspect Monism Cannot Evade Analytic Idealism.</w:t>
      </w:r>
      <w:r>
        <w:t xml:space="preserve"> </w:t>
      </w:r>
      <w:r>
        <w:t xml:space="preserve">Theoria et Historia Scientiarum, 15, 63–82.</w:t>
      </w:r>
    </w:p>
    <w:p>
      <w:pPr>
        <w:pStyle w:val="Compact"/>
        <w:numPr>
          <w:ilvl w:val="0"/>
          <w:numId w:val="1008"/>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08"/>
        </w:numPr>
      </w:pPr>
      <w:r>
        <w:rPr>
          <w:b/>
          <w:bCs/>
        </w:rPr>
        <w:t xml:space="preserve">Koch, C. (2019).</w:t>
      </w:r>
      <w:r>
        <w:t xml:space="preserve"> </w:t>
      </w:r>
      <w:r>
        <w:rPr>
          <w:i/>
          <w:iCs/>
        </w:rPr>
        <w:t xml:space="preserve">The Feeling of Life Itself: Why Consciousness Is Widespread but Can’t Be Computed.</w:t>
      </w:r>
      <w:r>
        <w:t xml:space="preserve"> </w:t>
      </w:r>
      <w:r>
        <w:t xml:space="preserve">MIT Press.</w:t>
      </w:r>
    </w:p>
    <w:p>
      <w:pPr>
        <w:pStyle w:val="Compact"/>
        <w:numPr>
          <w:ilvl w:val="0"/>
          <w:numId w:val="1008"/>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08"/>
        </w:numPr>
      </w:pPr>
      <w:r>
        <w:rPr>
          <w:b/>
          <w:bCs/>
        </w:rPr>
        <w:t xml:space="preserve">Metzinger, T. (2024).</w:t>
      </w:r>
      <w:r>
        <w:t xml:space="preserve"> </w:t>
      </w:r>
      <w:r>
        <w:rPr>
          <w:i/>
          <w:iCs/>
        </w:rPr>
        <w:t xml:space="preserve">The Elephant and the Blind: The Experience of Pure Consciousness: Philosophy, Science, and 500+ Experiential Reports.</w:t>
      </w:r>
      <w:r>
        <w:t xml:space="preserve"> </w:t>
      </w:r>
      <w:r>
        <w:t xml:space="preserve">MIT Press.</w:t>
      </w:r>
    </w:p>
    <w:p>
      <w:pPr>
        <w:pStyle w:val="Compact"/>
        <w:numPr>
          <w:ilvl w:val="0"/>
          <w:numId w:val="1008"/>
        </w:numPr>
      </w:pPr>
      <w:r>
        <w:rPr>
          <w:b/>
          <w:bCs/>
        </w:rPr>
        <w:t xml:space="preserve">Oizumi, M., Amari, S. I., Yanagawa, T., Fujii, N., &amp; Tsuchiya, N. (2016).</w:t>
      </w:r>
      <w:r>
        <w:t xml:space="preserve"> </w:t>
      </w:r>
      <w:r>
        <w:rPr>
          <w:i/>
          <w:iCs/>
        </w:rPr>
        <w:t xml:space="preserve">Measuring Integrated Information from the Decoding Perspective.</w:t>
      </w:r>
      <w:r>
        <w:t xml:space="preserve"> </w:t>
      </w:r>
      <w:r>
        <w:t xml:space="preserve">PLoS Computational Biology, 12(1), e1004654.</w:t>
      </w:r>
    </w:p>
    <w:p>
      <w:pPr>
        <w:pStyle w:val="Compact"/>
        <w:numPr>
          <w:ilvl w:val="0"/>
          <w:numId w:val="1008"/>
        </w:numPr>
      </w:pPr>
      <w:r>
        <w:rPr>
          <w:b/>
          <w:bCs/>
        </w:rPr>
        <w:t xml:space="preserve">Riebl, T. (2026).</w:t>
      </w:r>
      <w:r>
        <w:t xml:space="preserve"> </w:t>
      </w:r>
      <w:r>
        <w:rPr>
          <w:i/>
          <w:iCs/>
        </w:rPr>
        <w:t xml:space="preserve">Expanding IIT 4.0’s Axiom 0: The 6th Axiom of Autopoietic Causal Persistence (Will to Exist).</w:t>
      </w:r>
      <w:r>
        <w:t xml:space="preserve"> </w:t>
      </w:r>
      <w:r>
        <w:t xml:space="preserve">Working Paper &amp; Formal Proposal, Luxembourg.</w:t>
      </w:r>
    </w:p>
    <w:p>
      <w:pPr>
        <w:pStyle w:val="Compact"/>
        <w:numPr>
          <w:ilvl w:val="0"/>
          <w:numId w:val="1008"/>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08"/>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08"/>
        </w:numPr>
      </w:pPr>
      <w:r>
        <w:rPr>
          <w:b/>
          <w:bCs/>
        </w:rPr>
        <w:t xml:space="preserve">Spinoza, B. (1677).</w:t>
      </w:r>
      <w:r>
        <w:t xml:space="preserve"> </w:t>
      </w:r>
      <w:r>
        <w:rPr>
          <w:i/>
          <w:iCs/>
        </w:rPr>
        <w:t xml:space="preserve">Ethica, ordine geometrico demonstrata.</w:t>
      </w:r>
      <w:r>
        <w:t xml:space="preserve"> </w:t>
      </w:r>
      <w:r>
        <w:t xml:space="preserve">Posthumous Publication (Proposition 6 &amp; 7:</w:t>
      </w:r>
      <w:r>
        <w:t xml:space="preserve"> </w:t>
      </w:r>
      <w:r>
        <w:rPr>
          <w:i/>
          <w:iCs/>
        </w:rPr>
        <w:t xml:space="preserve">Conatus</w:t>
      </w:r>
      <w:r>
        <w:t xml:space="preserve"> </w:t>
      </w:r>
      <w:r>
        <w:t xml:space="preserve">as the intrinsic endeavor of every entity to persist in its own being).</w:t>
      </w:r>
    </w:p>
    <w:p>
      <w:pPr>
        <w:pStyle w:val="Compact"/>
        <w:numPr>
          <w:ilvl w:val="0"/>
          <w:numId w:val="1008"/>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r>
        <w:pict>
          <v:rect style="width:0;height:1.5pt" o:hralign="center" o:hrstd="t" o:hr="t"/>
        </w:pict>
      </w:r>
    </w:p>
    <w:bookmarkEnd w:id="42"/>
    <w:bookmarkStart w:id="48" w:name="tool-attribution-colophon"/>
    <w:p>
      <w:pPr>
        <w:pStyle w:val="Heading2"/>
      </w:pPr>
      <w:r>
        <w:t xml:space="preserve">8. Tool Attribution &amp; Colophon</w:t>
      </w:r>
    </w:p>
    <w:p>
      <w:pPr>
        <w:pStyle w:val="BlockText"/>
      </w:pPr>
      <w:r>
        <w:t xml:space="preserve">[!NOTE]</w:t>
      </w:r>
      <w:r>
        <w:t xml:space="preserve"> </w:t>
      </w:r>
      <w:r>
        <w:rPr>
          <w:b/>
          <w:bCs/>
        </w:rPr>
        <w:t xml:space="preserve">Tooling Colophon:</w:t>
      </w:r>
      <w:r>
        <w:br/>
      </w:r>
      <w:r>
        <w:t xml:space="preserve">This theoretical paper, mathematical synthesis, and computational Python simulation model were conceptualized and authored by</w:t>
      </w:r>
      <w:r>
        <w:t xml:space="preserve"> </w:t>
      </w:r>
      <w:r>
        <w:rPr>
          <w:b/>
          <w:bCs/>
        </w:rPr>
        <w:t xml:space="preserve">Thomas Riebl</w:t>
      </w:r>
      <w:r>
        <w:t xml:space="preserve"> </w:t>
      </w:r>
      <w:r>
        <w:t xml:space="preserve">(Luxembourg).</w:t>
      </w:r>
      <w:r>
        <w:br/>
      </w:r>
      <w:r>
        <w:t xml:space="preserve">The computational formulation, code implementation, vector diagram styling, and multi-format document compilation (Word</w:t>
      </w:r>
      <w:r>
        <w:t xml:space="preserve"> </w:t>
      </w:r>
      <w:r>
        <w:rPr>
          <w:rStyle w:val="VerbatimChar"/>
        </w:rPr>
        <w:t xml:space="preserve">.docx</w:t>
      </w:r>
      <w:r>
        <w:t xml:space="preserve">, Print-Ready PDF, and Jupyter Notebook) were developed with the assistance of</w:t>
      </w:r>
      <w:r>
        <w:t xml:space="preserve"> </w:t>
      </w:r>
      <w:r>
        <w:rPr>
          <w:b/>
          <w:bCs/>
        </w:rPr>
        <w:t xml:space="preserve">Google Gemini (Antigravity Advanced Agentic Coding System)</w:t>
      </w:r>
      <w:r>
        <w:t xml:space="preserve"> </w:t>
      </w:r>
      <w:r>
        <w:t xml:space="preserve">(August 2026).</w:t>
      </w:r>
    </w:p>
    <w:p>
      <w:r>
        <w:pict>
          <v:rect style="width:0;height:1.5pt" o:hralign="center" o:hrstd="t" o:hr="t"/>
        </w:pict>
      </w:r>
    </w:p>
    <w:bookmarkStart w:id="47" w:name="vault-repository-references"/>
    <w:p>
      <w:pPr>
        <w:pStyle w:val="Heading3"/>
      </w:pPr>
      <w:r>
        <w:t xml:space="preserve">Vault &amp; Repository References</w:t>
      </w:r>
    </w:p>
    <w:p>
      <w:pPr>
        <w:pStyle w:val="Compact"/>
        <w:numPr>
          <w:ilvl w:val="0"/>
          <w:numId w:val="1009"/>
        </w:numPr>
      </w:pPr>
      <w:r>
        <w:rPr>
          <w:b/>
          <w:bCs/>
        </w:rPr>
        <w:t xml:space="preserve">GitHub Project Repository:</w:t>
      </w:r>
      <w:r>
        <w:t xml:space="preserve"> </w:t>
      </w:r>
      <w:hyperlink r:id="rId43">
        <w:r>
          <w:rPr>
            <w:rStyle w:val="VerbatimChar"/>
          </w:rPr>
          <w:t xml:space="preserve">https://github.com/Thriebl/active-inference-phi-network</w:t>
        </w:r>
      </w:hyperlink>
    </w:p>
    <w:p>
      <w:pPr>
        <w:pStyle w:val="Compact"/>
        <w:numPr>
          <w:ilvl w:val="0"/>
          <w:numId w:val="1009"/>
        </w:numPr>
      </w:pPr>
      <w:r>
        <w:rPr>
          <w:b/>
          <w:bCs/>
        </w:rPr>
        <w:t xml:space="preserve">Jupyter Notebook:</w:t>
      </w:r>
      <w:r>
        <w:t xml:space="preserve"> </w:t>
      </w:r>
      <w:hyperlink r:id="rId44">
        <w:r>
          <w:rPr>
            <w:rStyle w:val="VerbatimChar"/>
          </w:rPr>
          <w:t xml:space="preserve">/home/thr/Documents/Active_Inference_Phi_Maximization_Network.ipynb</w:t>
        </w:r>
      </w:hyperlink>
    </w:p>
    <w:p>
      <w:pPr>
        <w:pStyle w:val="Compact"/>
        <w:numPr>
          <w:ilvl w:val="0"/>
          <w:numId w:val="1009"/>
        </w:numPr>
      </w:pPr>
      <w:r>
        <w:rPr>
          <w:b/>
          <w:bCs/>
        </w:rPr>
        <w:t xml:space="preserve">Theoretical Feedback to IIT 4.0 Paper:</w:t>
      </w:r>
      <w:r>
        <w:t xml:space="preserve"> </w:t>
      </w:r>
      <w:hyperlink r:id="rId45">
        <w:r>
          <w:rPr>
            <w:rStyle w:val="VerbatimChar"/>
          </w:rPr>
          <w:t xml:space="preserve">/home/thr/Documents/Feedback_on_IIT4_Expanding_Axiom_0_Will_to_Exist.pdf</w:t>
        </w:r>
      </w:hyperlink>
    </w:p>
    <w:p>
      <w:pPr>
        <w:pStyle w:val="Compact"/>
        <w:numPr>
          <w:ilvl w:val="0"/>
          <w:numId w:val="1009"/>
        </w:numPr>
      </w:pPr>
      <w:r>
        <w:rPr>
          <w:b/>
          <w:bCs/>
        </w:rPr>
        <w:t xml:space="preserve">Vault Archive:</w:t>
      </w:r>
      <w:r>
        <w:t xml:space="preserve"> </w:t>
      </w:r>
      <w:hyperlink r:id="rId46">
        <w:r>
          <w:rPr>
            <w:rStyle w:val="VerbatimChar"/>
          </w:rPr>
          <w:t xml:space="preserve">/home/thr/Documents/ThRNotes/03-professional/braindumps/</w:t>
        </w:r>
      </w:hyperlink>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2026-08-30T18:03:21Z</dcterms:created>
  <dcterms:modified xsi:type="dcterms:W3CDTF">2026-08-30T18:03:21Z</dcterms:modified>
</cp:coreProperties>
</file>

<file path=docProps/custom.xml><?xml version="1.0" encoding="utf-8"?>
<Properties xmlns="http://schemas.openxmlformats.org/officeDocument/2006/custom-properties" xmlns:vt="http://schemas.openxmlformats.org/officeDocument/2006/docPropsVTypes"/>
</file>