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the-composition-of-the-soul"/>
    <w:p>
      <w:pPr>
        <w:pStyle w:val="Heading1"/>
      </w:pPr>
      <w:r>
        <w:t xml:space="preserve">The Composition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1df4311be1c3d5a1b6ce14c626b9b0bbeb02abf">
        <w:r>
          <w:rPr>
            <w:rStyle w:val="Hyperlink"/>
          </w:rPr>
          <w:t xml:space="preserve">Appendix: Active Inference &amp; Predictive Processing Primer (CIF Context)</w:t>
        </w:r>
      </w:hyperlink>
    </w:p>
    <w:p>
      <w:pPr>
        <w:pStyle w:val="Compact"/>
        <w:numPr>
          <w:ilvl w:val="0"/>
          <w:numId w:val="1001"/>
        </w:numPr>
      </w:pPr>
      <w:hyperlink w:anchor="references--academic-bibliography">
        <w:r>
          <w:rPr>
            <w:rStyle w:val="Hyperlink"/>
          </w:rPr>
          <w:t xml:space="preserve">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tool-attribution--colophon">
        <w:r>
          <w:rPr>
            <w:rStyle w:val="Hyperlink"/>
          </w:rPr>
          <w:t xml:space="preserve">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2064555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4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3006312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2214622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4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Individual Soul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&amp;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Mind-at-Large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Ontological Ground (TWE)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Phylogenetic Prior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Chance &amp;Necessity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Molecular Crucible (Monod/Eigen)</m:t>
                  </m:r>
                </m:lim>
              </m:limLow>
            </m:e>
            <m:e>
              <m:r>
                <m:t>&amp;</m:t>
              </m:r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Epigenetics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Transgenerational Memory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Ontogenesis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Biographical Learning</m:t>
                  </m:r>
                </m:lim>
              </m:limLow>
              <m:r>
                <m:t> </m:t>
              </m:r>
              <m:r>
                <m:rPr>
                  <m:sty m:val="p"/>
                </m:rPr>
                <m:t>∩</m:t>
              </m:r>
              <m:r>
                <m:t> </m:t>
              </m:r>
              <m:limLow>
                <m:e>
                  <m:limLow>
                    <m:e>
                      <m:r>
                        <m:rPr>
                          <m:nor/>
                          <m:sty m:val="p"/>
                        </m:rPr>
                        <m:t>PSM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Dissociative Boundary</m:t>
                  </m:r>
                </m:lim>
              </m:limLow>
            </m:e>
          </m:eqArr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1224745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Architectural Layer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Ontological Function &amp; CIF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Ontological Ground</w:t>
            </w:r>
            <w:r>
              <w:rPr>
                <w:i/>
                <w:iCs/>
              </w:rPr>
              <w:t xml:space="preserve">(Mind-at-Large / TWE)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pure, undivided, non-dual field of conscious awareness (Kastrup)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Biological Embodiment</w:t>
            </w:r>
            <w:r>
              <w:rPr>
                <w:i/>
                <w:iCs/>
              </w:rPr>
              <w:t xml:space="preserve">(Genetics + Chance &amp; Necessity + Epigenetics)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unrepeatable physical carrier vessel: phylogenetic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 thermodynamic hypercycles (Monod / Eigen), and transgenerational precision tuning (</w:t>
            </w:r>
            <m:oMath>
              <m:r>
                <m:t>γ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Cognitive Individuation</w:t>
            </w:r>
            <w:r>
              <w:rPr>
                <w:i/>
                <w:iCs/>
              </w:rPr>
              <w:t xml:space="preserve">(Lifelong Learning + Ego Tunnel)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psychological, narrative self: autobiographical engrams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and the transparent Phenomenal Self-Model (PSM / Metzinger)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Integrated Soul Architecture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autopoietic living alter actively sustaining integrated causal power 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</w:rP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0878c06f3872fbdc1926e0c1937deae0a0907d6"/>
    <w:p>
      <w:pPr>
        <w:pStyle w:val="Heading2"/>
      </w:pPr>
      <w:r>
        <w:t xml:space="preserve">Appendix: Active Inference &amp; Predictive Processing Primer (CIF Context)</w:t>
      </w:r>
    </w:p>
    <w:p>
      <w:pPr>
        <w:pStyle w:val="FirstParagraph"/>
      </w:pPr>
      <w:r>
        <w:t xml:space="preserve">To understand how the soul functions as an autopoietic, living cognitive entity without invoking supernatural mechanisms, this treatise relies on the mathematical framework of</w:t>
      </w:r>
      <w:r>
        <w:t xml:space="preserve"> </w:t>
      </w:r>
      <w:r>
        <w:rPr>
          <w:b/>
          <w:bCs/>
        </w:rPr>
        <w:t xml:space="preserve">Active Inference</w:t>
      </w:r>
      <w:r>
        <w:t xml:space="preserve"> </w:t>
      </w:r>
      <w:r>
        <w:t xml:space="preserve">(Karl Friston) and its discrete-time</w:t>
      </w:r>
      <w:r>
        <w:t xml:space="preserve"> </w:t>
      </w:r>
      <w:r>
        <w:rPr>
          <w:b/>
          <w:bCs/>
        </w:rPr>
        <w:t xml:space="preserve">Partially Observable Markov Decision Process (POMDP)</w:t>
      </w:r>
      <w:r>
        <w:t xml:space="preserve"> </w:t>
      </w:r>
      <w:r>
        <w:t xml:space="preserve">formulation.</w:t>
      </w:r>
    </w:p>
    <w:p>
      <w:pPr>
        <w:pStyle w:val="CaptionedFigure"/>
      </w:pPr>
      <w:r>
        <w:drawing>
          <wp:inline>
            <wp:extent cx="5334000" cy="3338788"/>
            <wp:effectExtent b="0" l="0" r="0" t="0"/>
            <wp:docPr descr="Diagram 8" title="" id="57" name="Picture"/>
            <a:graphic>
              <a:graphicData uri="http://schemas.openxmlformats.org/drawingml/2006/picture">
                <pic:pic>
                  <pic:nvPicPr>
                    <pic:cNvPr descr="/tmp/docx_diagrams_soul/diagram_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8</w:t>
      </w:r>
    </w:p>
    <w:bookmarkStart w:id="59" w:name="X4fe5b2524eca521de71bedf47604381a9a0f096"/>
    <w:p>
      <w:pPr>
        <w:pStyle w:val="Heading3"/>
      </w:pPr>
      <w:r>
        <w:t xml:space="preserve">1. The Core Principle: Resisting Thermodynamic Decay</w:t>
      </w:r>
    </w:p>
    <w:p>
      <w:pPr>
        <w:pStyle w:val="FirstParagraph"/>
      </w:pPr>
      <w:r>
        <w:t xml:space="preserve">In physics, open systems tend toward maximum disorder (entropy). A living organism preserves its existence across time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, which acts as an upper mathematical bound on</w:t>
      </w:r>
      <w:r>
        <w:t xml:space="preserve"> </w:t>
      </w:r>
      <w:r>
        <w:rPr>
          <w:b/>
          <w:bCs/>
        </w:rPr>
        <w:t xml:space="preserve">Sensory Surprise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KL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Divergence (Perceptual Error)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Log Evidence (Surprise)</m:t>
              </m:r>
            </m:lim>
          </m:limLow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free energy, the organism operates across two complementary active loops: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Perceptual Inference (Belief Updating):</w:t>
      </w:r>
      <w:r>
        <w:t xml:space="preserve"> </w:t>
      </w:r>
      <w:r>
        <w:t xml:space="preserve">The brain changes its internal beliefs (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) to match incoming sensory observations (</w:t>
      </w:r>
      <m:oMath>
        <m:r>
          <m:t>o</m:t>
        </m:r>
      </m:oMath>
      <w:r>
        <w:t xml:space="preserve">), minimizing prediction error.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Active Inference (Action Selection):</w:t>
      </w:r>
      <w:r>
        <w:t xml:space="preserve"> </w:t>
      </w:r>
      <w:r>
        <w:t xml:space="preserve">The organism executes physical actions (</w:t>
      </w:r>
      <m:oMath>
        <m:r>
          <m:t>u</m:t>
        </m:r>
      </m:oMath>
      <w:r>
        <w:t xml:space="preserve">) upon the external environment to force incoming observations (</w:t>
      </w:r>
      <m:oMath>
        <m:r>
          <m:t>o</m:t>
        </m:r>
      </m:oMath>
      <w:r>
        <w:t xml:space="preserve">) to conform to its innate prior preferences (</w:t>
      </w:r>
      <m:oMath>
        <m:r>
          <m:t>C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X62d9317d2acae030ef1de848d56ad4a3e396779"/>
    <w:p>
      <w:pPr>
        <w:pStyle w:val="Heading3"/>
      </w:pPr>
      <w:r>
        <w:t xml:space="preserve">2. The POMDP Generative Model Parameters &amp; The Soul’s Layers</w:t>
      </w:r>
    </w:p>
    <w:p>
      <w:pPr>
        <w:pStyle w:val="FirstParagraph"/>
      </w:pPr>
      <w:r>
        <w:t xml:space="preserve">In computational neuroscience, the internal predictive model of the organism is formalized as a discrete-time Partially Observable Markov Decision Process (POMDP). Each mathematical parameter corresponds directly to one of the soul’s architectural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Inference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Soul Architecture Mapping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State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Innate phylogenetic priors; hardwired homeostatic setpoints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2: Genetics (</w:t>
            </w:r>
            <m:oMath>
              <m:r>
                <m:t>15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Brainstem &amp; limbic baseline (</w:t>
            </w:r>
            <w:r>
              <w:rPr>
                <w:i/>
                <w:iCs/>
              </w:rPr>
              <w:t xml:space="preserve">Conatus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Likelihood Matrix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Mapping between hidden causes (</w:t>
            </w:r>
            <m:oMath>
              <m:r>
                <m:t>s</m:t>
              </m:r>
            </m:oMath>
            <w:r>
              <w:t xml:space="preserve">) and sensory inputs (</w:t>
            </w:r>
            <m:oMath>
              <m:r>
                <m:t>o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5: Lifelong Learning (</w:t>
            </w:r>
            <m:oMath>
              <m:r>
                <m:t>25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Cortical-hippocampal memory engrams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Transition Tensor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Action-dependent causal dynamics; internal simulator of the 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5: Biographical Experience (</w:t>
            </w:r>
            <m:oMath>
              <m:r>
                <m:t>25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World-model &amp; narrative self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Preference Vector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Desired homeostatic distributions (goals, safety, survival values)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6th Axiom: The Will to Exist</w:t>
            </w:r>
            <w:r>
              <w:t xml:space="preserve">Conative goal state 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Precision Parameter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Confidence weighting placed on sensory prediction errors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4: Epigenetics (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Transgenerational stress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Partition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Statistical phase-space separation between Self and 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Layer 6: Ego Tunnel / PSM (</w:t>
            </w:r>
            <m:oMath>
              <m:r>
                <m:t>10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The Dissociated Boundary (</w:t>
            </w:r>
            <w:r>
              <w:rPr>
                <w:i/>
                <w:iCs/>
              </w:rPr>
              <w:t xml:space="preserve">Alter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12eb69c506fb31f26df3e83d7677e37be9372cd"/>
    <w:p>
      <w:pPr>
        <w:pStyle w:val="Heading3"/>
      </w:pPr>
      <w:r>
        <w:t xml:space="preserve">3. Precision Weighting (</w:t>
      </w:r>
      <m:oMath>
        <m:r>
          <m:t>γ</m:t>
        </m:r>
      </m:oMath>
      <w:r>
        <w:t xml:space="preserve">) and Transgenerational Epigenetics</w:t>
      </w:r>
    </w:p>
    <w:p>
      <w:pPr>
        <w:pStyle w:val="FirstParagraph"/>
      </w:pPr>
      <w:r>
        <w:t xml:space="preserve">Prediction errors are not treated equally. The brain scales each error by a</w:t>
      </w:r>
      <w:r>
        <w:t xml:space="preserve"> </w:t>
      </w:r>
      <w:r>
        <w:rPr>
          <w:b/>
          <w:bCs/>
        </w:rPr>
        <w:t xml:space="preserve">Precision Weight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Effective Update</m:t>
          </m:r>
          <m:r>
            <m:rPr>
              <m:sty m:val="p"/>
            </m:rPr>
            <m:t>=</m:t>
          </m:r>
          <m:r>
            <m:t>γ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*</w:t>
      </w:r>
      <w:r>
        <w:t xml:space="preserve"> </w:t>
      </w:r>
      <w:r>
        <w:rPr>
          <w:b/>
          <w:bCs/>
        </w:rPr>
        <w:t xml:space="preserve">High Precision (</w:t>
      </w:r>
      <m:oMath>
        <m:r>
          <m:t>γ</m:t>
        </m:r>
        <m:r>
          <m:rPr>
            <m:sty m:val="p"/>
          </m:rPr>
          <m:t>↑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sensory channel is deemed highly reliable; prediction errors force immediate, profound revisions of internal beliefs.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Low Precision (</w:t>
      </w:r>
      <m:oMath>
        <m:r>
          <m:t>γ</m:t>
        </m:r>
        <m:r>
          <m:rPr>
            <m:sty m:val="p"/>
          </m:rPr>
          <m:t>↓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sensory channel is treated as noisy; the organism ignores the input and relies dogmatically on its top-down priors.</w:t>
      </w:r>
    </w:p>
    <w:p>
      <w:pPr>
        <w:pStyle w:val="BodyText"/>
      </w:pPr>
      <w:r>
        <w:rPr>
          <w:b/>
          <w:bCs/>
        </w:rPr>
        <w:t xml:space="preserve">The Epigenetic Connection:</w:t>
      </w:r>
      <w:r>
        <w:t xml:space="preserve"> </w:t>
      </w:r>
      <w:r>
        <w:t xml:space="preserve">While neurotransmitters (dopamine, acetylcholine, norepinephrine) modulate precision in real-time,</w:t>
      </w:r>
      <w:r>
        <w:t xml:space="preserve"> </w:t>
      </w:r>
      <w:r>
        <w:rPr>
          <w:b/>
          <w:bCs/>
        </w:rPr>
        <w:t xml:space="preserve">epigenetic histone acetylation and DNA methylation set the baseline tonic precision</w:t>
      </w:r>
      <w:r>
        <w:t xml:space="preserve"> </w:t>
      </w:r>
      <w:r>
        <w:t xml:space="preserve">across generations. An individual inheriting epigenetic marks of famine or trauma has hyper-sensitized precision weights on threat-detection circuits, experiencing ancestral vigilance before any personal life experience has occurred.</w:t>
      </w:r>
    </w:p>
    <w:p>
      <w:r>
        <w:pict>
          <v:rect style="width:0;height:1.5pt" o:hralign="center" o:hrstd="t" o:hr="t"/>
        </w:pict>
      </w:r>
    </w:p>
    <w:bookmarkEnd w:id="61"/>
    <w:bookmarkStart w:id="62" w:name="Xc5c876f3feb8754d3e348f1b57107a6cabd197d"/>
    <w:p>
      <w:pPr>
        <w:pStyle w:val="Heading3"/>
      </w:pPr>
      <w:r>
        <w:t xml:space="preserve">4. The Markov Blanket: The Topological Boundary of Dissociation</w:t>
      </w:r>
    </w:p>
    <w:p>
      <w:pPr>
        <w:pStyle w:val="FirstParagraph"/>
      </w:pPr>
      <w:r>
        <w:t xml:space="preserve">In Friston’s formulation, a system exists as an individual entity if and only if its states can be partitioned into: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Internal States (</w:t>
      </w:r>
      <m:oMath>
        <m:r>
          <m:t>μ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neural firing, organ dynamics, and cognitive processes of the organism.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External States (</w:t>
      </w:r>
      <m:oMath>
        <m:r>
          <m:t>η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Mind-at-Large and environmental processes outside the organism.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Blanket States:</w:t>
      </w:r>
      <w:r>
        <w:t xml:space="preserve"> </w:t>
      </w:r>
      <w:r>
        <w:t xml:space="preserve">Composed of</w:t>
      </w:r>
      <w:r>
        <w:t xml:space="preserve"> </w:t>
      </w:r>
      <w:r>
        <w:rPr>
          <w:b/>
          <w:bCs/>
        </w:rPr>
        <w:t xml:space="preserve">Sensory States (</w:t>
      </w:r>
      <m:oMath>
        <m:r>
          <m:t>s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(influenced by external states, affecting internal states) and</w:t>
      </w:r>
      <w:r>
        <w:t xml:space="preserve"> </w:t>
      </w:r>
      <w:r>
        <w:rPr>
          <w:b/>
          <w:bCs/>
        </w:rPr>
        <w:t xml:space="preserve">Active States (</w:t>
      </w:r>
      <m:oMath>
        <m: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(influenced by internal states, affecting external states).</w:t>
      </w:r>
    </w:p>
    <w:p>
      <w:pPr>
        <w:pStyle w:val="BodyText"/>
      </w:pPr>
      <w:r>
        <w:t xml:space="preserve">The Markov Blanket is the</w:t>
      </w:r>
      <w:r>
        <w:t xml:space="preserve"> </w:t>
      </w:r>
      <w:r>
        <w:rPr>
          <w:b/>
          <w:bCs/>
        </w:rPr>
        <w:t xml:space="preserve">statistical membrane of the Dissociated Alter</w:t>
      </w:r>
      <w:r>
        <w:t xml:space="preserve">. It ensures conditional independence: the interior can only know the exterior through the sensory veil of the blanket. When this blanket is endowed with a</w:t>
      </w:r>
      <w:r>
        <w:t xml:space="preserve"> </w:t>
      </w:r>
      <w:r>
        <w:rPr>
          <w:b/>
          <w:bCs/>
        </w:rPr>
        <w:t xml:space="preserve">transparent Phenomenal Self-Model (PSM)</w:t>
      </w:r>
      <w:r>
        <w:t xml:space="preserve">, the cognitive system generates the localized 1st-person perspective (</w:t>
      </w:r>
      <w:r>
        <w:rPr>
          <w:i/>
          <w:iCs/>
        </w:rPr>
        <w:t xml:space="preserve">„I am here inside this body“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2"/>
    <w:bookmarkStart w:id="63" w:name="Xe8af632bf88c104d446d3510268ae6973a36e85"/>
    <w:p>
      <w:pPr>
        <w:pStyle w:val="Heading3"/>
      </w:pPr>
      <w:r>
        <w:t xml:space="preserve">5. CIF Synthesis: Active Inference as the Engine of The Will to Exist</w:t>
      </w:r>
    </w:p>
    <w:p>
      <w:pPr>
        <w:pStyle w:val="FirstParagraph"/>
      </w:pPr>
      <w:r>
        <w:t xml:space="preserve">Within the Conative-Integrative Framework (CIF), Active Inference is not merely a biological algorithm—it is</w:t>
      </w:r>
      <w:r>
        <w:t xml:space="preserve"> </w:t>
      </w:r>
      <w:r>
        <w:rPr>
          <w:b/>
          <w:bCs/>
        </w:rPr>
        <w:t xml:space="preserve">the formal computational mechanics of the 6th Axiom (</w:t>
      </w:r>
      <w:r>
        <w:rPr>
          <w:b/>
          <w:bCs/>
          <w:i/>
          <w:iCs/>
        </w:rPr>
        <w:t xml:space="preserve">The Will to Exist</w:t>
      </w:r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π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π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τ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G</m:t>
              </m:r>
            </m:e>
          </m:nary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rPr>
              <m:scr m:val="double-struck"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≥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 individual soul is an autopoietic informational whirlpool that continuously acts upon reality to preserve its own causal integration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 against entropy and dissolution.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references-academic-bibliography"/>
    <w:p>
      <w:pPr>
        <w:pStyle w:val="Heading2"/>
      </w:pPr>
      <w:r>
        <w:t xml:space="preserve">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K., FitzGerald, T., Rigoli, F., Schwartenbeck, P., &amp; Pezzulo, G. (2017).</w:t>
      </w:r>
      <w:r>
        <w:t xml:space="preserve"> </w:t>
      </w:r>
      <w:r>
        <w:rPr>
          <w:i/>
          <w:iCs/>
        </w:rPr>
        <w:t xml:space="preserve">Active Inference: A Process Theory.</w:t>
      </w:r>
      <w:r>
        <w:t xml:space="preserve"> </w:t>
      </w:r>
      <w:r>
        <w:t xml:space="preserve">Neural Computation, 29(1), 1–49.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Parr, T., Pezzulo, G., &amp; Friston, K. J. (2022).</w:t>
      </w:r>
      <w:r>
        <w:t xml:space="preserve"> </w:t>
      </w:r>
      <w:r>
        <w:rPr>
          <w:i/>
          <w:iCs/>
        </w:rPr>
        <w:t xml:space="preserve">Active Inference: The Free Energy Principle in Mind, Brain, and Behavior.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65"/>
    <w:bookmarkStart w:id="70" w:name="tool-attribution-colophon"/>
    <w:p>
      <w:pPr>
        <w:pStyle w:val="Heading2"/>
      </w:pPr>
      <w:r>
        <w:t xml:space="preserve">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9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66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67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68">
        <w:r>
          <w:rPr>
            <w:rStyle w:val="VerbatimChar"/>
          </w:rPr>
          <w:t xml:space="preserve">/home/thr/Documents/ThRNotes/03-professional/braindumps/</w:t>
        </w:r>
      </w:hyperlink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56" Target="media/rId56.png" /><Relationship Type="http://schemas.openxmlformats.org/officeDocument/2006/relationships/hyperlink" Id="rId68" Target="file:///home/thr/Documents/ThRNotes/03-professional/braindumps/" TargetMode="External" /><Relationship Type="http://schemas.openxmlformats.org/officeDocument/2006/relationships/hyperlink" Id="rId66" Target="file:///home/thr/Documents/The_Conative_Integrative_Framework_Thomas_Riebl.pdf" TargetMode="External" /><Relationship Type="http://schemas.openxmlformats.org/officeDocument/2006/relationships/hyperlink" Id="rId67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file:///home/thr/Documents/ThRNotes/03-professional/braindumps/" TargetMode="External" /><Relationship Type="http://schemas.openxmlformats.org/officeDocument/2006/relationships/hyperlink" Id="rId66" Target="file:///home/thr/Documents/The_Conative_Integrative_Framework_Thomas_Riebl.pdf" TargetMode="External" /><Relationship Type="http://schemas.openxmlformats.org/officeDocument/2006/relationships/hyperlink" Id="rId67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2026-09-01T17:42:44Z</dcterms:created>
  <dcterms:modified xsi:type="dcterms:W3CDTF">2026-09-01T17:42:44Z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