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the-composition-of-the-soul"/>
    <w:p>
      <w:pPr>
        <w:pStyle w:val="Heading1"/>
      </w:pPr>
      <w:r>
        <w:t xml:space="preserve">The Composition of the Soul</w:t>
      </w:r>
    </w:p>
    <w:bookmarkStart w:id="9" w:name="Xbbef3270933f94ecac57b88d3d6351e2326c910"/>
    <w:p>
      <w:pPr>
        <w:pStyle w:val="Heading2"/>
      </w:pPr>
      <w:r>
        <w:t xml:space="preserve">How Genetics, Chance and Necessity,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sixfold intersection of: Universal Consciousness, Phylogenetic Genetics, The Thermodynamic Crucible of Chance &amp; Necessity,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edf42fce287535ea3bfff6d3632a7e01c026c2e">
        <w:r>
          <w:rPr>
            <w:rStyle w:val="Hyperlink"/>
          </w:rPr>
          <w:t xml:space="preserve">Architectural Master Map: The 6 Layers of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c31727b204c9f884a41d14800a1340d03807c02">
        <w:r>
          <w:rPr>
            <w:rStyle w:val="Hyperlink"/>
          </w:rPr>
          <w:t xml:space="preserve">3. The Crucible of Chance and Necessity: Monod and Eigen’s Evolutionary Engine</w:t>
        </w:r>
      </w:hyperlink>
    </w:p>
    <w:p>
      <w:pPr>
        <w:pStyle w:val="Compact"/>
        <w:numPr>
          <w:ilvl w:val="0"/>
          <w:numId w:val="1001"/>
        </w:numPr>
      </w:pPr>
      <w:hyperlink w:anchor="Xe227c51f63f65ed4e9d8a24f9ee9a3610111a82">
        <w:r>
          <w:rPr>
            <w:rStyle w:val="Hyperlink"/>
          </w:rPr>
          <w:t xml:space="preserve">4.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ba6739b4e2be23319d9edc00de9628e610ed21e">
        <w:r>
          <w:rPr>
            <w:rStyle w:val="Hyperlink"/>
          </w:rPr>
          <w:t xml:space="preserve">5.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e7d34bc53230d8e9112580acfed3da67a8fd2e2">
        <w:r>
          <w:rPr>
            <w:rStyle w:val="Hyperlink"/>
          </w:rPr>
          <w:t xml:space="preserve">6.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dd7bf71b3fae3220b816b7e92e0a1b58bb5b39f">
        <w:r>
          <w:rPr>
            <w:rStyle w:val="Hyperlink"/>
          </w:rPr>
          <w:t xml:space="preserve">7. The Synthesis: The Architecture and Quantitative Derivation of the Soul</w:t>
        </w:r>
      </w:hyperlink>
    </w:p>
    <w:p>
      <w:pPr>
        <w:pStyle w:val="Compact"/>
        <w:numPr>
          <w:ilvl w:val="0"/>
          <w:numId w:val="1001"/>
        </w:numPr>
      </w:pPr>
      <w:hyperlink w:anchor="X2bec05451bf7ddbfcb1ec243008cf1359cbce74">
        <w:r>
          <w:rPr>
            <w:rStyle w:val="Hyperlink"/>
          </w:rPr>
          <w:t xml:space="preserve">8.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b8a5eeed3840bf42c96cc3b0a0ad96099f3bfef">
        <w:r>
          <w:rPr>
            <w:rStyle w:val="Hyperlink"/>
          </w:rPr>
          <w:t xml:space="preserve">9.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90565c0bb9c74a256ac319d15024665f986d4aa">
        <w:r>
          <w:rPr>
            <w:rStyle w:val="Hyperlink"/>
          </w:rPr>
          <w:t xml:space="preserve">10.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Xedf42fce287535ea3bfff6d3632a7e01c026c2e"/>
    <w:p>
      <w:pPr>
        <w:pStyle w:val="Heading2"/>
      </w:pPr>
      <w:r>
        <w:t xml:space="preserve">Architectural Master Map: The 6 Layers of the Soul</w:t>
      </w:r>
    </w:p>
    <w:p>
      <w:pPr>
        <w:pStyle w:val="CaptionedFigure"/>
      </w:pPr>
      <w:r>
        <w:drawing>
          <wp:inline>
            <wp:extent cx="5334000" cy="7026584"/>
            <wp:effectExtent b="0" l="0" r="0" t="0"/>
            <wp:docPr descr="Diagram 1" title="" id="13" name="Picture"/>
            <a:graphic>
              <a:graphicData uri="http://schemas.openxmlformats.org/drawingml/2006/picture">
                <pic:pic>
                  <pic:nvPicPr>
                    <pic:cNvPr descr="/tmp/docx_diagrams_soul/diagram_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2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5"/>
    <w:p>
      <w:r>
        <w:pict>
          <v:rect style="width:0;height:1.5pt" o:hralign="center" o:hrstd="t" o:hr="t"/>
        </w:pict>
      </w:r>
    </w:p>
    <w:bookmarkStart w:id="16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6"/>
    <w:bookmarkStart w:id="20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585931"/>
            <wp:effectExtent b="0" l="0" r="0" t="0"/>
            <wp:docPr descr="Diagram 2" title="" id="18" name="Picture"/>
            <a:graphic>
              <a:graphicData uri="http://schemas.openxmlformats.org/drawingml/2006/picture">
                <pic:pic>
                  <pic:nvPicPr>
                    <pic:cNvPr descr="/tmp/docx_diagrams_soul/diagram_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20"/>
    <w:bookmarkStart w:id="27" w:name="X293220e2b730e427c16855a2a7f62d3f4ae8e02"/>
    <w:p>
      <w:pPr>
        <w:pStyle w:val="Heading2"/>
      </w:pPr>
      <w:r>
        <w:t xml:space="preserve">3. The Crucible of Chance and Necessity: Monod and Eigen’s Evolutionary Engine</w:t>
      </w:r>
    </w:p>
    <w:p>
      <w:pPr>
        <w:pStyle w:val="FirstParagraph"/>
      </w:pPr>
      <w:r>
        <w:t xml:space="preserve">Between static genetic architecture and dynamic epigenetic modulation lies the</w:t>
      </w:r>
      <w:r>
        <w:t xml:space="preserve"> </w:t>
      </w:r>
      <w:r>
        <w:rPr>
          <w:b/>
          <w:bCs/>
        </w:rPr>
        <w:t xml:space="preserve">creative furnace of thermodynamics and molecular self-organization</w:t>
      </w:r>
      <w:r>
        <w:t xml:space="preserve">:</w:t>
      </w:r>
    </w:p>
    <w:p>
      <w:pPr>
        <w:pStyle w:val="CaptionedFigure"/>
      </w:pPr>
      <w:r>
        <w:drawing>
          <wp:inline>
            <wp:extent cx="5334000" cy="2006984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bookmarkStart w:id="24" w:name="Xef827e030e8818d734b2ebf73c5039579efb3ad"/>
    <w:p>
      <w:pPr>
        <w:pStyle w:val="Heading3"/>
      </w:pPr>
      <w:r>
        <w:t xml:space="preserve">1. Jacques Monod: Chance as the Source of Novelty, Necessity as the Invariant Law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i/>
          <w:iCs/>
        </w:rPr>
        <w:t xml:space="preserve">Le Hasard et la Nécessité</w:t>
      </w:r>
      <w:r>
        <w:t xml:space="preserve"> </w:t>
      </w:r>
      <w:r>
        <w:t xml:space="preserve">(1970), Nobel laureate Jacques Monod demonstrated that: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Chance (</w:t>
      </w:r>
      <w:r>
        <w:rPr>
          <w:b/>
          <w:bCs/>
          <w:i/>
          <w:iCs/>
        </w:rPr>
        <w:t xml:space="preserve">Le Hasard</w:t>
      </w:r>
      <w:r>
        <w:rPr>
          <w:b/>
          <w:bCs/>
        </w:rPr>
        <w:t xml:space="preserve">):</w:t>
      </w:r>
      <w:r>
        <w:t xml:space="preserve"> </w:t>
      </w:r>
      <w:r>
        <w:t xml:space="preserve">At the microscopic quantum and molecular level, genetic mutations, chromosomal recombination during meiosis, and developmental noise are fundamentally blind and stochastic. Chance is the</w:t>
      </w:r>
      <w:r>
        <w:t xml:space="preserve"> </w:t>
      </w:r>
      <w:r>
        <w:rPr>
          <w:b/>
          <w:bCs/>
        </w:rPr>
        <w:t xml:space="preserve">sole source of genuine novelty</w:t>
      </w:r>
      <w:r>
        <w:t xml:space="preserve"> </w:t>
      </w:r>
      <w:r>
        <w:t xml:space="preserve">in the biosphere. It guarantees that no two individuals—not even monozygotic twins—possess an identical microscopic neural or cellular wiring.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Necessity (</w:t>
      </w:r>
      <w:r>
        <w:rPr>
          <w:b/>
          <w:bCs/>
          <w:i/>
          <w:iCs/>
        </w:rPr>
        <w:t xml:space="preserve">La Nécessité</w:t>
      </w:r>
      <w:r>
        <w:rPr>
          <w:b/>
          <w:bCs/>
        </w:rPr>
        <w:t xml:space="preserve">):</w:t>
      </w:r>
      <w:r>
        <w:t xml:space="preserve"> </w:t>
      </w:r>
      <w:r>
        <w:t xml:space="preserve">Once drawn from the roulette wheel of chance, every biological variation is mercilessly tested against the invariant, deterministic laws of thermodynamics, biochemistry, and teleonomic survival. If a mutation violates metabolic coherence, the organism perishes.</w:t>
      </w:r>
    </w:p>
    <w:bookmarkEnd w:id="24"/>
    <w:bookmarkStart w:id="25" w:name="X6d5dc20084356b4fe280bb631213aaca57c5ba9"/>
    <w:p>
      <w:pPr>
        <w:pStyle w:val="Heading3"/>
      </w:pPr>
      <w:r>
        <w:t xml:space="preserve">2. Manfred Eigen: Catalytic Hypercycles and Evolutionary Game Dynamics</w:t>
      </w:r>
    </w:p>
    <w:p>
      <w:pPr>
        <w:pStyle w:val="FirstParagraph"/>
      </w:pPr>
      <w:r>
        <w:t xml:space="preserve">Nobel laureate Manfred Eigen (</w:t>
      </w:r>
      <w:r>
        <w:rPr>
          <w:i/>
          <w:iCs/>
        </w:rPr>
        <w:t xml:space="preserve">Selforganization of Matter</w:t>
      </w:r>
      <w:r>
        <w:t xml:space="preserve">, 1971;</w:t>
      </w:r>
      <w:r>
        <w:t xml:space="preserve"> </w:t>
      </w:r>
      <w:r>
        <w:rPr>
          <w:i/>
          <w:iCs/>
        </w:rPr>
        <w:t xml:space="preserve">Das Spiel</w:t>
      </w:r>
      <w:r>
        <w:t xml:space="preserve">, 1975) took Monod’s insight further by formulating how life transcends mere random drift: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Hypercycle (</w:t>
      </w:r>
      <w:r>
        <w:rPr>
          <w:b/>
          <w:bCs/>
          <w:i/>
          <w:iCs/>
        </w:rPr>
        <w:t xml:space="preserve">Der Hyperzyklus</w:t>
      </w:r>
      <w:r>
        <w:rPr>
          <w:b/>
          <w:bCs/>
        </w:rPr>
        <w:t xml:space="preserve">):</w:t>
      </w:r>
      <w:r>
        <w:t xml:space="preserve"> </w:t>
      </w:r>
      <w:r>
        <w:t xml:space="preserve">A closed, non-linear network of self-replicating macromolecular units where each element catalytically supports the synthesis of the next. Hypercycles provide the physical threshold where blind chemistry transforms into self-sustaining, information-preserving autopoiesis.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Rules of the Game (</w:t>
      </w:r>
      <w:r>
        <w:rPr>
          <w:b/>
          <w:bCs/>
          <w:i/>
          <w:iCs/>
        </w:rPr>
        <w:t xml:space="preserve">Das Spiel</w:t>
      </w:r>
      <w:r>
        <w:rPr>
          <w:b/>
          <w:bCs/>
        </w:rPr>
        <w:t xml:space="preserve">):</w:t>
      </w:r>
      <w:r>
        <w:t xml:space="preserve"> </w:t>
      </w:r>
      <w:r>
        <w:t xml:space="preserve">Evolutionary self-organization is a cosmic game played with loaded dice—where chance proposes random moves, but the deterministic feedback rules of the hypercycle select and stabilize coherent macro-structures.</w:t>
      </w:r>
    </w:p>
    <w:bookmarkEnd w:id="25"/>
    <w:bookmarkStart w:id="26" w:name="role-in-the-architecture-of-the-soul"/>
    <w:p>
      <w:pPr>
        <w:pStyle w:val="Heading3"/>
      </w:pPr>
      <w:r>
        <w:t xml:space="preserve">Role in the Architecture of the Soul:</w:t>
      </w:r>
    </w:p>
    <w:p>
      <w:pPr>
        <w:pStyle w:val="FirstParagraph"/>
      </w:pPr>
      <w:r>
        <w:t xml:space="preserve">Chance and Necessity act as the</w:t>
      </w:r>
      <w:r>
        <w:t xml:space="preserve"> </w:t>
      </w:r>
      <w:r>
        <w:rPr>
          <w:b/>
          <w:bCs/>
        </w:rPr>
        <w:t xml:space="preserve">cosmic sieve and creative sculptor</w:t>
      </w:r>
      <w:r>
        <w:t xml:space="preserve"> </w:t>
      </w:r>
      <w:r>
        <w:t xml:space="preserve">of the individual alter. While Mind-at-Large is infinite and genetics provides the species blueprint,</w:t>
      </w:r>
      <w:r>
        <w:t xml:space="preserve"> </w:t>
      </w:r>
      <w:r>
        <w:rPr>
          <w:b/>
          <w:bCs/>
        </w:rPr>
        <w:t xml:space="preserve">Chance rolls the dice of individual existence</w:t>
      </w:r>
      <w:r>
        <w:t xml:space="preserve">, and</w:t>
      </w:r>
      <w:r>
        <w:t xml:space="preserve"> </w:t>
      </w:r>
      <w:r>
        <w:rPr>
          <w:b/>
          <w:bCs/>
        </w:rPr>
        <w:t xml:space="preserve">Necessity binds them into a functional, autopoietic hypercycle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c61124c09b6daa7086cdf86eb5ca04a2dd6b193"/>
    <w:p>
      <w:pPr>
        <w:pStyle w:val="Heading2"/>
      </w:pPr>
      <w:r>
        <w:t xml:space="preserve">4. The Transgenerational Resonance: Epigenetics as Environmental Gating</w:t>
      </w:r>
    </w:p>
    <w:p>
      <w:pPr>
        <w:pStyle w:val="FirstParagraph"/>
      </w:pPr>
      <w:r>
        <w:t xml:space="preserve">Genetics and molecular hypercycles establish the biological vessel, but the direct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nucleotide sequence. It acts as a dynamic volume dial on the genetic repertoire.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 (Yehuda &amp; Lehrner, 2018).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8"/>
    <w:bookmarkStart w:id="32" w:name="Xac9a648eb0316d8046fd78cd9d59f2cb606d612"/>
    <w:p>
      <w:pPr>
        <w:pStyle w:val="Heading2"/>
      </w:pPr>
      <w:r>
        <w:t xml:space="preserve">5. The Ontogenetic Tapestry: Lifelong Learning and the Predictive Self</w:t>
      </w:r>
    </w:p>
    <w:p>
      <w:pPr>
        <w:pStyle w:val="FirstParagraph"/>
      </w:pPr>
      <w:r>
        <w:t xml:space="preserve">While genetics, chance,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4997188"/>
            <wp:effectExtent b="0" l="0" r="0" t="0"/>
            <wp:docPr descr="Diagram 4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X4655be5d1df81adec123e27565de38933d9b011"/>
    <w:p>
      <w:pPr>
        <w:pStyle w:val="Heading2"/>
      </w:pPr>
      <w:r>
        <w:t xml:space="preserve">6.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3531053"/>
            <wp:effectExtent b="0" l="0" r="0" t="0"/>
            <wp:docPr descr="Diagram 5" title="" id="34" name="Picture"/>
            <a:graphic>
              <a:graphicData uri="http://schemas.openxmlformats.org/drawingml/2006/picture">
                <pic:pic>
                  <pic:nvPicPr>
                    <pic:cNvPr descr="/tmp/docx_diagrams_soul/diagram_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1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Start w:id="52" w:name="X472c955f220590b6e3b8402cfe64b91bc3b00aa"/>
    <w:p>
      <w:pPr>
        <w:pStyle w:val="Heading2"/>
      </w:pPr>
      <w:r>
        <w:t xml:space="preserve">7. The Synthesis: The Architecture and Quantitative Derivation of the Soul</w:t>
      </w:r>
    </w:p>
    <w:p>
      <w:pPr>
        <w:pStyle w:val="FirstParagraph"/>
      </w:pPr>
      <w:r>
        <w:t xml:space="preserve">Combining all six components yields the</w:t>
      </w:r>
      <w:r>
        <w:t xml:space="preserve"> </w:t>
      </w:r>
      <w:r>
        <w:rPr>
          <w:b/>
          <w:bCs/>
        </w:rPr>
        <w:t xml:space="preserve">Complete 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Chance &amp;Necessity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Molecular Crucible (Monod/Eigen)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40" w:name="the-6-components-of-the-soul-at-a-glance"/>
    <w:p>
      <w:pPr>
        <w:pStyle w:val="Heading3"/>
      </w:pPr>
      <w:r>
        <w:t xml:space="preserve">The 6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Chance &amp; Necessity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Biophysics (Monod / Eigen)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mutation &amp; recombination filtered by thermodynamic hypercycles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Entropy (</w:t>
            </w:r>
            <m:oMath>
              <m:r>
                <m:rPr>
                  <m:scr m:val="script"/>
                  <m:sty m:val="p"/>
                </m:rPr>
                <m:t>H</m:t>
              </m:r>
            </m:oMath>
            <w:r>
              <w:t xml:space="preserve">) vs. Hypercyclic Invariance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Epigenomics (Jablonka / Yehuda)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10 %</w:t>
            </w:r>
          </w:p>
        </w:tc>
      </w:tr>
    </w:tbl>
    <w:p>
      <w:pPr>
        <w:pStyle w:val="CaptionedFigure"/>
      </w:pPr>
      <w:r>
        <w:drawing>
          <wp:inline>
            <wp:extent cx="5334000" cy="2860771"/>
            <wp:effectExtent b="0" l="0" r="0" t="0"/>
            <wp:docPr descr="Diagram 6" title="" id="38" name="Picture"/>
            <a:graphic>
              <a:graphicData uri="http://schemas.openxmlformats.org/drawingml/2006/picture">
                <pic:pic>
                  <pic:nvPicPr>
                    <pic:cNvPr descr="/tmp/docx_diagrams_soul/diagram_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</w:t>
      </w:r>
    </w:p>
    <w:p>
      <w:r>
        <w:pict>
          <v:rect style="width:0;height:1.5pt" o:hralign="center" o:hrstd="t" o:hr="t"/>
        </w:pict>
      </w:r>
    </w:p>
    <w:bookmarkEnd w:id="40"/>
    <w:bookmarkStart w:id="51" w:name="Xbebcf2bde1bc4dbc61dbcec22ab5ee85107d188"/>
    <w:p>
      <w:pPr>
        <w:pStyle w:val="Heading3"/>
      </w:pPr>
      <w:r>
        <w:t xml:space="preserve">7.1 Quantitative Derivation of the Architectural Weighting (The 100% Decomposition)</w:t>
      </w:r>
    </w:p>
    <w:p>
      <w:pPr>
        <w:pStyle w:val="FirstParagraph"/>
      </w:pPr>
      <w:r>
        <w:t xml:space="preserve">How is the percentage distribution of the six components mathematically and empirically derived? It rests on the</w:t>
      </w:r>
      <w:r>
        <w:t xml:space="preserve"> </w:t>
      </w:r>
      <w:r>
        <w:rPr>
          <w:b/>
          <w:bCs/>
        </w:rPr>
        <w:t xml:space="preserve">triangulation of three established scientific and philosophical disciplines</w:t>
      </w:r>
      <w:r>
        <w:t xml:space="preserve">:</w:t>
      </w:r>
    </w:p>
    <w:p>
      <w:pPr>
        <w:pStyle w:val="CaptionedFigure"/>
      </w:pPr>
      <w:r>
        <w:drawing>
          <wp:inline>
            <wp:extent cx="5334000" cy="5057172"/>
            <wp:effectExtent b="0" l="0" r="0" t="0"/>
            <wp:docPr descr="Diagram 7" title="" id="42" name="Picture"/>
            <a:graphic>
              <a:graphicData uri="http://schemas.openxmlformats.org/drawingml/2006/picture">
                <pic:pic>
                  <pic:nvPicPr>
                    <pic:cNvPr descr="/tmp/docx_diagrams_soul/diagram_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7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7</w:t>
      </w:r>
    </w:p>
    <w:bookmarkStart w:id="44" w:name="Xa6ef8ae158b4caec625847045c46698a5c6177d"/>
    <w:p>
      <w:pPr>
        <w:pStyle w:val="Heading4"/>
      </w:pPr>
      <w:r>
        <w:t xml:space="preserve">1. Mind-at-Large / TWE: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(The Ontological 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Derivation:</w:t>
      </w:r>
      <w:r>
        <w:t xml:space="preserve"> </w:t>
      </w:r>
      <w:r>
        <w:t xml:space="preserve">Universal consciousness is not generated by the organism; it is the ontological ground of all reality (Kastrup).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 for 25%:</w:t>
      </w:r>
      <w:r>
        <w:t xml:space="preserve"> </w:t>
      </w:r>
      <w:r>
        <w:t xml:space="preserve">It constitutes exactly</w:t>
      </w:r>
      <w:r>
        <w:t xml:space="preserve"> </w:t>
      </w:r>
      <w:r>
        <w:rPr>
          <w:b/>
          <w:bCs/>
        </w:rPr>
        <w:t xml:space="preserve">one quarter of the total structural nexus</w:t>
      </w:r>
      <w:r>
        <w:t xml:space="preserve">—the universal, invariant substrate that is identical across all sentient beings. It is the unfragmented light before it passes through the prism of individuality.</w:t>
      </w:r>
    </w:p>
    <w:bookmarkEnd w:id="44"/>
    <w:bookmarkStart w:id="45" w:name="Xd2f606a65c39b95bb490579e952894386fee7fd"/>
    <w:p>
      <w:pPr>
        <w:pStyle w:val="Heading4"/>
      </w:pPr>
      <w:r>
        <w:t xml:space="preserve">2. Lifelong Learning &amp; Ontogenesis:</w:t>
      </w:r>
      <w:r>
        <w:t xml:space="preserve"> </w:t>
      </w:r>
      <w:r>
        <w:rPr>
          <w:b/>
          <w:bCs/>
        </w:rPr>
        <w:t xml:space="preserve">25 %</w:t>
      </w:r>
      <w:r>
        <w:t xml:space="preserve"> </w:t>
      </w:r>
      <w:r>
        <w:rPr>
          <w:i/>
          <w:iCs/>
        </w:rPr>
        <w:t xml:space="preserve">(Autobiographical Neuroplasticity)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Derivation (Behavioral Genetics &amp; Cognitive Neuroscience):</w:t>
      </w:r>
      <w:r>
        <w:t xml:space="preserve"> </w:t>
      </w:r>
      <w:r>
        <w:t xml:space="preserve">Landmark twin and adoption studies (Bouchard, Plomin, Turkheimer) demonstrate that the non-shared environment (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t xml:space="preserve">)—biographical life events, personal relationships, education, culture, traumas, and conscious choices—accounts for</w:t>
      </w:r>
      <w:r>
        <w:t xml:space="preserve"> </w:t>
      </w:r>
      <w:r>
        <w:rPr>
          <w:b/>
          <w:bCs/>
        </w:rPr>
        <w:t xml:space="preserve">40–50 % of phenotypic personality variance</w:t>
      </w:r>
      <w:r>
        <w:t xml:space="preserve"> </w:t>
      </w:r>
      <w:r>
        <w:t xml:space="preserve">in adulthood.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This corresponds to the continuous, experience-dependent updating of the transition tensor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likelihood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cortical networks. Alongside Mind-at-Large, biographical learning forms the co-equal 25% anchor of adult self-identity.</w:t>
      </w:r>
    </w:p>
    <w:bookmarkEnd w:id="45"/>
    <w:bookmarkStart w:id="46" w:name="X7339eea7e3aa90c2fd72a45abd3c89e09233c91"/>
    <w:p>
      <w:pPr>
        <w:pStyle w:val="Heading4"/>
      </w:pPr>
      <w:r>
        <w:t xml:space="preserve">3. Genetics &amp; Limbic Drives: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Phylogenetic Baseline</w:t>
      </w:r>
      <w:r>
        <w:rPr>
          <w:i/>
          <w:iCs/>
        </w:rP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Derivation (Neurobiology of Emotion):</w:t>
      </w:r>
      <w:r>
        <w:t xml:space="preserve"> </w:t>
      </w:r>
      <w:r>
        <w:t xml:space="preserve">Research by Gerhard Roth and Jaak Panksepp indicates that subcortical limbic systems (brainstem, amygdala, hypothalamus) hardwire primary affective circuits (FEAR, RAGE, CARE, PLAY) and fundamental temperament traits (neuroticism, extraversion).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Genetics does not construct the completed personality; it provides the</w:t>
      </w:r>
      <w:r>
        <w:t xml:space="preserve"> </w:t>
      </w:r>
      <w:r>
        <w:rPr>
          <w:b/>
          <w:bCs/>
        </w:rPr>
        <w:t xml:space="preserve">unalterable phylogenetic starting skeleton</w:t>
      </w:r>
      <w:r>
        <w:t xml:space="preserve"> </w:t>
      </w:r>
      <w:r>
        <w:t xml:space="preserve">and the foundational</w:t>
      </w:r>
      <w:r>
        <w:t xml:space="preserve"> </w:t>
      </w:r>
      <w:r>
        <w:rPr>
          <w:i/>
          <w:iCs/>
        </w:rPr>
        <w:t xml:space="preserve">Will to Exist</w:t>
      </w:r>
      <w:r>
        <w:t xml:space="preserve"> </w:t>
      </w:r>
      <w:r>
        <w:t xml:space="preserve">(</w:t>
      </w:r>
      <w:r>
        <w:rPr>
          <w:i/>
          <w:iCs/>
        </w:rPr>
        <w:t xml:space="preserve">Conatus</w:t>
      </w:r>
      <w:r>
        <w:t xml:space="preserve">).</w:t>
      </w:r>
    </w:p>
    <w:bookmarkEnd w:id="46"/>
    <w:bookmarkStart w:id="47" w:name="Xded91af8fb3eefc099e40f6bf613bd70354ad7c"/>
    <w:p>
      <w:pPr>
        <w:pStyle w:val="Heading4"/>
      </w:pPr>
      <w:r>
        <w:t xml:space="preserve">4. Chance &amp; Necessity (Monod &amp; Eigen):</w:t>
      </w:r>
      <w:r>
        <w:t xml:space="preserve"> </w:t>
      </w:r>
      <w:r>
        <w:rPr>
          <w:b/>
          <w:bCs/>
        </w:rPr>
        <w:t xml:space="preserve">15 %</w:t>
      </w:r>
      <w:r>
        <w:t xml:space="preserve"> </w:t>
      </w:r>
      <w:r>
        <w:rPr>
          <w:i/>
          <w:iCs/>
        </w:rPr>
        <w:t xml:space="preserve">(The Molecular Crucible)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Derivation (Developmental Biophysics):</w:t>
      </w:r>
      <w:r>
        <w:t xml:space="preserve"> </w:t>
      </w:r>
      <w:r>
        <w:t xml:space="preserve">Even genetically identical organisms (monozygotic twins) diverge significantly in micro-anatomical brain wiring and cortical folding due to</w:t>
      </w:r>
      <w:r>
        <w:t xml:space="preserve"> </w:t>
      </w:r>
      <w:r>
        <w:rPr>
          <w:b/>
          <w:bCs/>
        </w:rPr>
        <w:t xml:space="preserve">developmental noise (</w:t>
      </w:r>
      <w:r>
        <w:rPr>
          <w:b/>
          <w:bCs/>
          <w:i/>
          <w:iCs/>
        </w:rPr>
        <w:t xml:space="preserve">stochastic noise during embryogenesis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Rationale for 15%:</w:t>
      </w:r>
      <w:r>
        <w:t xml:space="preserve"> </w:t>
      </w:r>
      <w:r>
        <w:t xml:space="preserve">Jacques Monod’s microscopic</w:t>
      </w:r>
      <w:r>
        <w:t xml:space="preserve"> </w:t>
      </w:r>
      <w:r>
        <w:rPr>
          <w:i/>
          <w:iCs/>
        </w:rPr>
        <w:t xml:space="preserve">Chance</w:t>
      </w:r>
      <w:r>
        <w:t xml:space="preserve"> </w:t>
      </w:r>
      <w:r>
        <w:t xml:space="preserve">(meiotic crossover, quantum point mutations) combined with Manfred Eigen’s</w:t>
      </w:r>
      <w:r>
        <w:t xml:space="preserve"> </w:t>
      </w:r>
      <w:r>
        <w:rPr>
          <w:i/>
          <w:iCs/>
        </w:rPr>
        <w:t xml:space="preserve">Necessity</w:t>
      </w:r>
      <w:r>
        <w:t xml:space="preserve"> </w:t>
      </w:r>
      <w:r>
        <w:t xml:space="preserve">(autocatalytic hypercycles, thermodynamic stability) quantifies the</w:t>
      </w:r>
      <w:r>
        <w:t xml:space="preserve"> </w:t>
      </w:r>
      <w:r>
        <w:rPr>
          <w:b/>
          <w:bCs/>
        </w:rPr>
        <w:t xml:space="preserve">innate, non-genetic physical uniqueness</w:t>
      </w:r>
      <w:r>
        <w:t xml:space="preserve"> </w:t>
      </w:r>
      <w:r>
        <w:t xml:space="preserve">of the biological substrate.</w:t>
      </w:r>
    </w:p>
    <w:bookmarkEnd w:id="47"/>
    <w:bookmarkStart w:id="48" w:name="X261b472e3e3aec15a1f72637bbebb01de78f5ca"/>
    <w:p>
      <w:pPr>
        <w:pStyle w:val="Heading4"/>
      </w:pPr>
      <w:r>
        <w:t xml:space="preserve">5. Epigenetics &amp; Transgenerational Resonance: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(Dynamic Precision Gating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Derivation (Epigenomics &amp; Trauma Transmission):</w:t>
      </w:r>
      <w:r>
        <w:t xml:space="preserve"> </w:t>
      </w:r>
      <w:r>
        <w:t xml:space="preserve">Molecular studies show that chromatin remodeling, histone acetylation, and DNA methylation modulate</w:t>
      </w:r>
      <w:r>
        <w:t xml:space="preserve"> </w:t>
      </w:r>
      <w:r>
        <w:rPr>
          <w:b/>
          <w:bCs/>
        </w:rPr>
        <w:t xml:space="preserve">5–15 % of functional gene expression profiles</w:t>
      </w:r>
      <w:r>
        <w:t xml:space="preserve"> </w:t>
      </w:r>
      <w:r>
        <w:t xml:space="preserve">in response to environmental stressors (Yehuda &amp; Lehrner, 2018).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Inference Mapping:</w:t>
      </w:r>
      <w:r>
        <w:t xml:space="preserve"> </w:t>
      </w:r>
      <w:r>
        <w:t xml:space="preserve">Epigenetics functions as a dynamic volume dial, adjusting sensory precision weights (</w:t>
      </w:r>
      <m:oMath>
        <m:r>
          <m:t>γ</m:t>
        </m:r>
      </m:oMath>
      <w:r>
        <w:t xml:space="preserve">) based on ancestral survival history.</w:t>
      </w:r>
    </w:p>
    <w:bookmarkEnd w:id="48"/>
    <w:bookmarkStart w:id="49" w:name="X9da53c449ff6b0a5babff0c43e1b43ccfd63803"/>
    <w:p>
      <w:pPr>
        <w:pStyle w:val="Heading4"/>
      </w:pPr>
      <w:r>
        <w:t xml:space="preserve">6. Dissociative Markov Blanket &amp; Ego Tunnel: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rPr>
          <w:i/>
          <w:iCs/>
        </w:rPr>
        <w:t xml:space="preserve">(The Phenomenal Self-Model)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Derivation (Self-Model Theory &amp; IIT 4.0):</w:t>
      </w:r>
      <w:r>
        <w:t xml:space="preserve"> </w:t>
      </w:r>
      <w:r>
        <w:t xml:space="preserve">The Phenomenal Self-Model (PSM) does not require massive biographical storage; it is a</w:t>
      </w:r>
      <w:r>
        <w:t xml:space="preserve"> </w:t>
      </w:r>
      <w:r>
        <w:rPr>
          <w:b/>
          <w:bCs/>
        </w:rPr>
        <w:t xml:space="preserve">lean, real-time cognitive gating mechanism</w:t>
      </w:r>
      <w:r>
        <w:t xml:space="preserve"> </w:t>
      </w:r>
      <w:r>
        <w:t xml:space="preserve">(Metzinger).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Rationale for 10%:</w:t>
      </w:r>
      <w:r>
        <w:t xml:space="preserve"> </w:t>
      </w:r>
      <w:r>
        <w:t xml:space="preserve">It is the topologic boundary (Markov Blanket) that projects the internal self-organization into a first-person perspective (</w:t>
      </w:r>
      <w:r>
        <w:rPr>
          <w:i/>
          <w:iCs/>
        </w:rPr>
        <w:t xml:space="preserve">„I am here“</w:t>
      </w:r>
      <w:r>
        <w:t xml:space="preserve">). Though functionally compact, it is mathematically indispensable for generating the dissociative partition (</w:t>
      </w:r>
      <m:oMath>
        <m:sSub>
          <m:e>
            <m:r>
              <m:rPr>
                <m:sty m:val="p"/>
              </m:rPr>
              <m:t>Φ</m:t>
            </m:r>
          </m:e>
          <m:sub>
            <m:r>
              <m:rPr>
                <m:nor/>
                <m:sty m:val="p"/>
              </m:rPr>
              <m:t>boundary</m:t>
            </m:r>
          </m:sub>
        </m:sSub>
      </m:oMath>
      <w:r>
        <w:t xml:space="preserve">).</w:t>
      </w:r>
    </w:p>
    <w:bookmarkEnd w:id="49"/>
    <w:bookmarkStart w:id="50" w:name="macro-level-summary-table"/>
    <w:p>
      <w:pPr>
        <w:pStyle w:val="Heading4"/>
      </w:pPr>
      <w:r>
        <w:t xml:space="preserve">Macro-Level Summary Table: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nor/>
                    <m:sty m:val="b"/>
                  </m:rPr>
                  <m:t>Architectural Layer</m:t>
                </m:r>
              </m:e>
              <m:e>
                <m:r>
                  <m:rPr>
                    <m:nor/>
                    <m:sty m:val="b"/>
                  </m:rPr>
                  <m:t>Weight</m:t>
                </m:r>
              </m:e>
              <m:e>
                <m:r>
                  <m:rPr>
                    <m:nor/>
                    <m:sty m:val="b"/>
                  </m:rPr>
                  <m:t>Ontological Function</m:t>
                </m:r>
              </m:e>
            </m:mr>
            <m:mr>
              <m:e>
                <m:r>
                  <m:rPr>
                    <m:nor/>
                    <m:sty m:val="p"/>
                  </m:rPr>
                  <m:t>1. Ontological Ground (Mind-at-Large)</m:t>
                </m:r>
              </m:e>
              <m:e>
                <m:r>
                  <m:rPr>
                    <m:sty m:val="b"/>
                  </m:rPr>
                  <m:t>25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pure, undivided field of conscious awareness</m:t>
                </m:r>
              </m:e>
            </m:mr>
            <m:mr>
              <m:e>
                <m:r>
                  <m:rPr>
                    <m:nor/>
                    <m:sty m:val="p"/>
                  </m:rPr>
                  <m:t>2. Biological Embodiment (Genetics + Chance/Eigen + Epigenetics)</m:t>
                </m:r>
              </m:e>
              <m:e>
                <m:r>
                  <m:rPr>
                    <m:sty m:val="b"/>
                  </m:rPr>
                  <m:t>40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physical, thermodynamic, and molecular carrier vessel</m:t>
                </m:r>
              </m:e>
            </m:mr>
            <m:mr>
              <m:e>
                <m:r>
                  <m:rPr>
                    <m:nor/>
                    <m:sty m:val="p"/>
                  </m:rPr>
                  <m:t>3. Cognitive Individuation (Lifelong Learning + Ego Tunnel)</m:t>
                </m:r>
              </m:e>
              <m:e>
                <m:r>
                  <m:rPr>
                    <m:sty m:val="b"/>
                  </m:rPr>
                  <m:t>35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p"/>
                  </m:rPr>
                  <m:t>The psychological, biographical, and narrative individual alter</m:t>
                </m:r>
              </m:e>
            </m:mr>
            <m:mr>
              <m:e>
                <m:r>
                  <m:rPr>
                    <m:nor/>
                    <m:sty m:val="b"/>
                  </m:rPr>
                  <m:t>Total Integrated Soul Architecture</m:t>
                </m:r>
              </m:e>
              <m:e>
                <m:r>
                  <m:rPr>
                    <m:sty m:val="b"/>
                  </m:rPr>
                  <m:t>100</m:t>
                </m:r>
                <m:r>
                  <m:rPr>
                    <m:sty m:val="b"/>
                  </m:rPr>
                  <m:t> </m:t>
                </m:r>
                <m:r>
                  <m:rPr>
                    <m:sty m:val="b"/>
                  </m:rPr>
                  <m:t>%</m:t>
                </m:r>
              </m:e>
              <m:e>
                <m:r>
                  <m:rPr>
                    <m:nor/>
                    <m:sty m:val="b"/>
                  </m:rPr>
                  <m:t>The autopoietic living alter sustaining integrated causal power 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Φ</m:t>
                </m:r>
                <m:r>
                  <m:rPr>
                    <m:sty m:val="p"/>
                  </m:rPr>
                  <m:t>)</m:t>
                </m:r>
              </m:e>
            </m:mr>
            <m:mr>
              <m:e/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55" w:name="Xb52143c7117a526484eb45a1063afb2dd0d0301"/>
    <w:p>
      <w:pPr>
        <w:pStyle w:val="Heading2"/>
      </w:pPr>
      <w:r>
        <w:t xml:space="preserve">8.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53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53"/>
    <w:bookmarkStart w:id="54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the molecular hypercycles,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ferences-academic-bibliography"/>
    <w:p>
      <w:pPr>
        <w:pStyle w:val="Heading2"/>
      </w:pPr>
      <w:r>
        <w:t xml:space="preserve">9. References &amp; Academic Bibliography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Bouchard, T. J. (2004).</w:t>
      </w:r>
      <w:r>
        <w:t xml:space="preserve"> </w:t>
      </w:r>
      <w:r>
        <w:rPr>
          <w:i/>
          <w:iCs/>
        </w:rPr>
        <w:t xml:space="preserve">Genetic influence on human psychological traits: A survey.</w:t>
      </w:r>
      <w:r>
        <w:t xml:space="preserve"> </w:t>
      </w:r>
      <w:r>
        <w:t xml:space="preserve">Current Directions in Psychological Science, 13(4), 148–151.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 (1971).</w:t>
      </w:r>
      <w:r>
        <w:t xml:space="preserve"> </w:t>
      </w:r>
      <w:r>
        <w:rPr>
          <w:i/>
          <w:iCs/>
        </w:rPr>
        <w:t xml:space="preserve">Selforganization of matter and the evolution of biological macromolecules.</w:t>
      </w:r>
      <w:r>
        <w:t xml:space="preserve"> </w:t>
      </w:r>
      <w:r>
        <w:t xml:space="preserve">Die Naturwissenschaften, 58(10), 465–523. (Foundational paper on molecular self-organization and the hypercycle).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Eigen, M., &amp; Winkler, R. (1975).</w:t>
      </w:r>
      <w:r>
        <w:t xml:space="preserve"> </w:t>
      </w:r>
      <w:r>
        <w:rPr>
          <w:i/>
          <w:iCs/>
        </w:rPr>
        <w:t xml:space="preserve">Das Spiel: Unsere Begegnung mit dem Zufall (Laws of the Game: How the Principles of Nature Govern Chance).</w:t>
      </w:r>
      <w:r>
        <w:t xml:space="preserve"> </w:t>
      </w:r>
      <w:r>
        <w:t xml:space="preserve">Piper Verlag, München. (Evolutionary game dynamics bridging chance and deterministic laws).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Monod, J. (1970).</w:t>
      </w:r>
      <w:r>
        <w:t xml:space="preserve"> </w:t>
      </w:r>
      <w:r>
        <w:rPr>
          <w:i/>
          <w:iCs/>
        </w:rPr>
        <w:t xml:space="preserve">Le Hasard et la Nécessité: Essai sur la philosophie naturelle de la biologie moderne (Chance and Necessity).</w:t>
      </w:r>
      <w:r>
        <w:t xml:space="preserve"> </w:t>
      </w:r>
      <w:r>
        <w:t xml:space="preserve">Éditions du Seuil, Paris. (Nobel laureate formulation of blind genetic chance and invariant teleonomic necessity).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Panksepp, J. (1998).</w:t>
      </w:r>
      <w:r>
        <w:t xml:space="preserve"> </w:t>
      </w:r>
      <w:r>
        <w:rPr>
          <w:i/>
          <w:iCs/>
        </w:rPr>
        <w:t xml:space="preserve">Affective Neuroscience: The Foundations of Human and Animal Emotions.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Plomin, R., DeFries, J. C., Knopik, V. S., &amp; Neiderhiser, J. M. (2016).</w:t>
      </w:r>
      <w:r>
        <w:t xml:space="preserve"> </w:t>
      </w:r>
      <w:r>
        <w:rPr>
          <w:i/>
          <w:iCs/>
        </w:rPr>
        <w:t xml:space="preserve">Top 10 Replicated Findings From Behavioral Genetics.</w:t>
      </w:r>
      <w:r>
        <w:t xml:space="preserve"> </w:t>
      </w:r>
      <w:r>
        <w:t xml:space="preserve">Perspectives on Psychological Science, 11(1), 3–23.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Turkheimer, E. (2000).</w:t>
      </w:r>
      <w:r>
        <w:t xml:space="preserve"> </w:t>
      </w:r>
      <w:r>
        <w:rPr>
          <w:i/>
          <w:iCs/>
        </w:rPr>
        <w:t xml:space="preserve">Three Laws of Behavior Genetics and What They Mean.</w:t>
      </w:r>
      <w:r>
        <w:t xml:space="preserve"> </w:t>
      </w:r>
      <w:r>
        <w:t xml:space="preserve">Current Directions in Psychological Science, 9(5), 160–164.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56"/>
    <w:bookmarkStart w:id="61" w:name="tool-attribution-colophon"/>
    <w:p>
      <w:pPr>
        <w:pStyle w:val="Heading2"/>
      </w:pPr>
      <w:r>
        <w:t xml:space="preserve">10.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60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57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58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59">
        <w:r>
          <w:rPr>
            <w:rStyle w:val="VerbatimChar"/>
          </w:rPr>
          <w:t xml:space="preserve">/home/thr/Documents/ThRNotes/03-professional/braindumps/</w:t>
        </w:r>
      </w:hyperlink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file:///home/thr/Documents/ThRNotes/03-professional/braindumps/" TargetMode="External" /><Relationship Type="http://schemas.openxmlformats.org/officeDocument/2006/relationships/hyperlink" Id="rId57" Target="file:///home/thr/Documents/The_Conative_Integrative_Framework_Thomas_Riebl.pdf" TargetMode="External" /><Relationship Type="http://schemas.openxmlformats.org/officeDocument/2006/relationships/hyperlink" Id="rId58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2026-09-01T16:34:28Z</dcterms:created>
  <dcterms:modified xsi:type="dcterms:W3CDTF">2026-09-01T16:34:28Z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