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the-components-of-the-soul"/>
    <w:p>
      <w:pPr>
        <w:pStyle w:val="Heading1"/>
      </w:pPr>
      <w:r>
        <w:t xml:space="preserve">The Components of the Soul</w:t>
      </w:r>
    </w:p>
    <w:bookmarkStart w:id="12" w:name="Xd472d1756bc8b076bd47256a9553673747e276a"/>
    <w:p>
      <w:pPr>
        <w:pStyle w:val="Heading2"/>
      </w:pPr>
      <w:r>
        <w:t xml:space="preserve">How Genetics,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Document Status:</w:t>
      </w:r>
      <w:r>
        <w:t xml:space="preserve"> </w:t>
      </w:r>
      <w:r>
        <w:t xml:space="preserve">🟡</w:t>
      </w:r>
      <w:r>
        <w:t xml:space="preserve"> </w:t>
      </w:r>
      <w:r>
        <w:rPr>
          <w:b/>
          <w:bCs/>
        </w:rPr>
        <w:t xml:space="preserve">[WORKING DRAFT • WORK IN PROGRESS]</w:t>
      </w:r>
      <w:r>
        <w:br/>
      </w:r>
      <w:r>
        <w:rPr>
          <w:b/>
          <w:bCs/>
        </w:rPr>
        <w:t xml:space="preserve">Theoretical Architecture:</w:t>
      </w:r>
      <w:r>
        <w:t xml:space="preserve"> </w:t>
      </w:r>
      <w:r>
        <w:t xml:space="preserve">The Conative-Integrative Framework (CIF)</w:t>
      </w:r>
    </w:p>
    <w:p>
      <w:pPr>
        <w:pStyle w:val="BlockText"/>
      </w:pPr>
      <w:r>
        <w:t xml:space="preserve">[!IMPORTANT]</w:t>
      </w:r>
      <w:r>
        <w:t xml:space="preserve"> </w:t>
      </w:r>
      <w:r>
        <w:rPr>
          <w:b/>
          <w:bCs/>
        </w:rPr>
        <w:t xml:space="preserve">Working Paper / Work in Progress:</w:t>
      </w:r>
      <w:r>
        <w:br/>
      </w:r>
      <w:r>
        <w:t xml:space="preserve">This treatise represents an active working draft and exploratory conceptual model within</w:t>
      </w:r>
      <w:r>
        <w:t xml:space="preserve"> </w:t>
      </w:r>
      <w:r>
        <w:rPr>
          <w:i/>
          <w:iCs/>
        </w:rPr>
        <w:t xml:space="preserve">The Conative-Integrative Framework (CIF)</w:t>
      </w:r>
      <w:r>
        <w:t xml:space="preserve">. It is subject to ongoing research, empirical formalization, and philosophical refinement.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1629833"/>
            <wp:effectExtent b="0" l="0" r="0" t="0"/>
            <wp:docPr descr="Diagram 1" title="" id="10" name="Picture"/>
            <a:graphic>
              <a:graphicData uri="http://schemas.openxmlformats.org/drawingml/2006/picture">
                <pic:pic>
                  <pic:nvPicPr>
                    <pic:cNvPr descr="/tmp/docx_diagrams_soul/diagram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9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-de-mystifying-the-soul">
        <w:r>
          <w:rPr>
            <w:rStyle w:val="Hyperlink"/>
          </w:rPr>
          <w:t xml:space="preserve">Executive Summary: De-Mystifying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9eb2518884aafb9766ed7d7b851a23dd0946c6c">
        <w:r>
          <w:rPr>
            <w:rStyle w:val="Hyperlink"/>
          </w:rPr>
          <w:t xml:space="preserve">3.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467273e0ad525658dee4e64b1e7be3b9529bd42">
        <w:r>
          <w:rPr>
            <w:rStyle w:val="Hyperlink"/>
          </w:rPr>
          <w:t xml:space="preserve">4.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2a94bb81dfe2bb1145830e5ab2e44a40e441268">
        <w:r>
          <w:rPr>
            <w:rStyle w:val="Hyperlink"/>
          </w:rPr>
          <w:t xml:space="preserve">5.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94efcbacb1cc2d2dc7c5043d8ee533ba44484fd">
        <w:r>
          <w:rPr>
            <w:rStyle w:val="Hyperlink"/>
          </w:rPr>
          <w:t xml:space="preserve">6. The Synthesis: The Architecture of the Individual Soul</w:t>
        </w:r>
      </w:hyperlink>
    </w:p>
    <w:p>
      <w:pPr>
        <w:pStyle w:val="Compact"/>
        <w:numPr>
          <w:ilvl w:val="0"/>
          <w:numId w:val="1001"/>
        </w:numPr>
      </w:pPr>
      <w:hyperlink w:anchor="Xa32d53ecd5e98ddf1cb98c497cb94ce6dbe8d24">
        <w:r>
          <w:rPr>
            <w:rStyle w:val="Hyperlink"/>
          </w:rPr>
          <w:t xml:space="preserve">7.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2684d4a33decb7b52f3486c4cce4f9476c2b7ae">
        <w:r>
          <w:rPr>
            <w:rStyle w:val="Hyperlink"/>
          </w:rPr>
          <w:t xml:space="preserve">8.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a0fc30b0096595cd78b8d31cff6515ce2283a98">
        <w:r>
          <w:rPr>
            <w:rStyle w:val="Hyperlink"/>
          </w:rPr>
          <w:t xml:space="preserve">9.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fivefold intersection of: Universal Consciousness, Phylogenetic Genetics,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4"/>
    <w:bookmarkStart w:id="15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5"/>
    <w:bookmarkStart w:id="19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654326"/>
            <wp:effectExtent b="0" l="0" r="0" t="0"/>
            <wp:docPr descr="Diagram 2" title="" id="17" name="Picture"/>
            <a:graphic>
              <a:graphicData uri="http://schemas.openxmlformats.org/drawingml/2006/picture">
                <pic:pic>
                  <pic:nvPicPr>
                    <pic:cNvPr descr="/tmp/docx_diagrams_soul/diagram_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19"/>
    <w:bookmarkStart w:id="20" w:name="Xc61124c09b6daa7086cdf86eb5ca04a2dd6b193"/>
    <w:p>
      <w:pPr>
        <w:pStyle w:val="Heading2"/>
      </w:pPr>
      <w:r>
        <w:t xml:space="preserve">3. The Transgenerational Resonance: Epigenetics as Environmental Gating</w:t>
      </w:r>
    </w:p>
    <w:p>
      <w:pPr>
        <w:pStyle w:val="FirstParagraph"/>
      </w:pPr>
      <w:r>
        <w:t xml:space="preserve">Genetics alone is too rigid to capture the adaptive dynamism of life. The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genetic code. It acts as a dynamic volume dial on genetic potential.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0"/>
    <w:bookmarkStart w:id="24" w:name="Xac9a648eb0316d8046fd78cd9d59f2cb606d612"/>
    <w:p>
      <w:pPr>
        <w:pStyle w:val="Heading2"/>
      </w:pPr>
      <w:r>
        <w:t xml:space="preserve">4. The Ontogenetic Tapestry: Lifelong Learning and the Predictive Self</w:t>
      </w:r>
    </w:p>
    <w:p>
      <w:pPr>
        <w:pStyle w:val="FirstParagraph"/>
      </w:pPr>
      <w:r>
        <w:t xml:space="preserve">While genetics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4944533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8" w:name="X4655be5d1df81adec123e27565de38933d9b011"/>
    <w:p>
      <w:pPr>
        <w:pStyle w:val="Heading2"/>
      </w:pPr>
      <w:r>
        <w:t xml:space="preserve">5.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3530839"/>
            <wp:effectExtent b="0" l="0" r="0" t="0"/>
            <wp:docPr descr="Diagram 4" title="" id="26" name="Picture"/>
            <a:graphic>
              <a:graphicData uri="http://schemas.openxmlformats.org/drawingml/2006/picture">
                <pic:pic>
                  <pic:nvPicPr>
                    <pic:cNvPr descr="/tmp/docx_diagrams_soul/diagram_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33" w:name="X69b2e7e4f7648e89d0468b68b1a0efd50f5612a"/>
    <w:p>
      <w:pPr>
        <w:pStyle w:val="Heading2"/>
      </w:pPr>
      <w:r>
        <w:t xml:space="preserve">6. The Synthesis: The Architecture of the Individual Soul</w:t>
      </w:r>
    </w:p>
    <w:p>
      <w:pPr>
        <w:pStyle w:val="FirstParagraph"/>
      </w:pPr>
      <w:r>
        <w:t xml:space="preserve">Combining all five components yields the</w:t>
      </w:r>
      <w:r>
        <w:t xml:space="preserve"> </w:t>
      </w:r>
      <w:r>
        <w:rPr>
          <w:b/>
          <w:bCs/>
        </w:rPr>
        <w:t xml:space="preserve">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Individual Soul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Mind-at-Large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Ontological Ground (TWE)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Phylogenetic Prior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Epigenetics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Transgenerational Memory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Ontogenesis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Biographical Learning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PSM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Dissociative Boundary</m:t>
              </m:r>
            </m:lim>
          </m:limLow>
        </m:oMath>
      </m:oMathPara>
    </w:p>
    <w:bookmarkStart w:id="32" w:name="the-5-components-of-the-soul-at-a-glance"/>
    <w:p>
      <w:pPr>
        <w:pStyle w:val="Heading3"/>
      </w:pPr>
      <w:r>
        <w:t xml:space="preserve">The 5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Epigenetics &amp; Epigenomics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</w:tr>
    </w:tbl>
    <w:p>
      <w:pPr>
        <w:pStyle w:val="CaptionedFigure"/>
      </w:pPr>
      <w:r>
        <w:drawing>
          <wp:inline>
            <wp:extent cx="5334000" cy="3096019"/>
            <wp:effectExtent b="0" l="0" r="0" t="0"/>
            <wp:docPr descr="Diagram 5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b52143c7117a526484eb45a1063afb2dd0d0301"/>
    <w:p>
      <w:pPr>
        <w:pStyle w:val="Heading2"/>
      </w:pPr>
      <w:r>
        <w:t xml:space="preserve">7.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34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34"/>
    <w:bookmarkStart w:id="35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references-academic-bibliography"/>
    <w:p>
      <w:pPr>
        <w:pStyle w:val="Heading2"/>
      </w:pPr>
      <w:r>
        <w:t xml:space="preserve">8. References &amp; Academic Bibliography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37"/>
    <w:bookmarkStart w:id="42" w:name="tool-attribution-colophon"/>
    <w:p>
      <w:pPr>
        <w:pStyle w:val="Heading2"/>
      </w:pPr>
      <w:r>
        <w:t xml:space="preserve">9.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41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38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39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40">
        <w:r>
          <w:rPr>
            <w:rStyle w:val="VerbatimChar"/>
          </w:rPr>
          <w:t xml:space="preserve">/home/thr/Documents/ThRNotes/03-professional/braindumps/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0" Target="file:///home/thr/Documents/ThRNotes/03-professional/braindumps/" TargetMode="External" /><Relationship Type="http://schemas.openxmlformats.org/officeDocument/2006/relationships/hyperlink" Id="rId38" Target="file:///home/thr/Documents/The_Conative_Integrative_Framework_Thomas_Riebl.pdf" TargetMode="External" /><Relationship Type="http://schemas.openxmlformats.org/officeDocument/2006/relationships/hyperlink" Id="rId39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file:///home/thr/Documents/ThRNotes/03-professional/braindumps/" TargetMode="External" /><Relationship Type="http://schemas.openxmlformats.org/officeDocument/2006/relationships/hyperlink" Id="rId38" Target="file:///home/thr/Documents/The_Conative_Integrative_Framework_Thomas_Riebl.pdf" TargetMode="External" /><Relationship Type="http://schemas.openxmlformats.org/officeDocument/2006/relationships/hyperlink" Id="rId39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2026-09-01T07:21:53Z</dcterms:created>
  <dcterms:modified xsi:type="dcterms:W3CDTF">2026-09-01T07:21:53Z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