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idmung"/>
    <w:p>
      <w:pPr>
        <w:pStyle w:val="Heading1"/>
      </w:pPr>
      <w:r>
        <w:t xml:space="preserve">Widmung</w:t>
      </w:r>
    </w:p>
    <w:p>
      <w:pPr>
        <w:pStyle w:val="FirstParagraph"/>
      </w:pPr>
    </w:p>
    <w:p>
      <w:pPr>
        <w:pStyle w:val="BodyText"/>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60" w:name="Xb6253ae800693db45b886bd1c8c9d69bdc31d64"/>
    <w:p>
      <w:pPr>
        <w:pStyle w:val="Heading1"/>
      </w:pPr>
      <w:r>
        <w:t xml:space="preserve">Kapitel 9: Mathematischer Anhang, Quellcode &amp; Bibliographie</w:t>
      </w:r>
    </w:p>
    <w:p>
      <w:r>
        <w:pict>
          <v:rect style="width:0;height:1.5pt" o:hralign="center" o:hrstd="t" o:hr="t"/>
        </w:pict>
      </w:r>
    </w:p>
    <w:bookmarkStart w:id="57" w:name="anhang-a-mathematische-formalismen"/>
    <w:p>
      <w:pPr>
        <w:pStyle w:val="Heading2"/>
      </w:pPr>
      <w:r>
        <w:t xml:space="preserve">Anhang A: Mathematische Formalismen</w:t>
      </w:r>
    </w:p>
    <w:bookmarkStart w:id="53" w:name="das-pomdp-tupel"/>
    <w:p>
      <w:pPr>
        <w:pStyle w:val="Heading3"/>
      </w:pPr>
      <w:r>
        <w:t xml:space="preserve">1. Das POMDP-Tupel</w:t>
      </w:r>
    </w:p>
    <w:p>
      <w:pPr>
        <w:pStyle w:val="FirstParagraph"/>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Likelihood:</w:t>
      </w:r>
      <w:r>
        <w:t xml:space="preserve"> </w:t>
      </w:r>
      <m:oMath>
        <m:r>
          <m:t>A</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sSup>
          <m:e>
            <m:r>
              <m:rPr>
                <m:scr m:val="double-struck"/>
                <m:sty m:val="p"/>
              </m:rPr>
              <m:t>R</m:t>
            </m:r>
          </m:e>
          <m:sup>
            <m:sSub>
              <m:e>
                <m:r>
                  <m:t>N</m:t>
                </m:r>
              </m:e>
              <m:sub>
                <m:r>
                  <m:t>o</m:t>
                </m:r>
              </m:sub>
            </m:sSub>
            <m:r>
              <m:rPr>
                <m:sty m:val="p"/>
              </m:rPr>
              <m:t>×</m:t>
            </m:r>
            <m:sSub>
              <m:e>
                <m:r>
                  <m:t>N</m:t>
                </m:r>
              </m:e>
              <m:sub>
                <m:r>
                  <m:t>s</m:t>
                </m:r>
              </m:sub>
            </m:sSub>
          </m:sup>
        </m:sSup>
      </m:oMath>
    </w:p>
    <w:p>
      <w:pPr>
        <w:pStyle w:val="Compact"/>
        <w:numPr>
          <w:ilvl w:val="0"/>
          <w:numId w:val="1012"/>
        </w:numPr>
      </w:pPr>
      <w:r>
        <w:rPr>
          <w:b/>
          <w:bCs/>
        </w:rPr>
        <w:t xml:space="preserve">Übergangstensor:</w:t>
      </w:r>
      <w:r>
        <w:t xml:space="preserve"> </w:t>
      </w:r>
      <m:oMath>
        <m:r>
          <m:t>B</m:t>
        </m:r>
        <m:r>
          <m:rPr>
            <m:sty m:val="p"/>
          </m:rPr>
          <m:t>=</m:t>
        </m:r>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p>
    <w:p>
      <w:pPr>
        <w:pStyle w:val="Compact"/>
        <w:numPr>
          <w:ilvl w:val="0"/>
          <w:numId w:val="1012"/>
        </w:numPr>
      </w:pPr>
      <w:r>
        <w:rPr>
          <w:b/>
          <w:bCs/>
        </w:rPr>
        <w:t xml:space="preserve">Präferenzen:</w:t>
      </w:r>
      <w:r>
        <w:t xml:space="preserve"> </w:t>
      </w:r>
      <m:oMath>
        <m:r>
          <m:t>C</m:t>
        </m:r>
        <m:r>
          <m:rPr>
            <m:sty m:val="p"/>
          </m:rPr>
          <m:t>=</m:t>
        </m:r>
        <m:r>
          <m:rPr>
            <m:sty m:val="p"/>
          </m:rPr>
          <m:t>ln</m:t>
        </m:r>
        <m:r>
          <m:t>P</m:t>
        </m:r>
        <m:r>
          <m:rPr>
            <m:sty m:val="p"/>
          </m:rPr>
          <m:t>(</m:t>
        </m:r>
        <m:r>
          <m:t>o</m:t>
        </m:r>
        <m:r>
          <m:rPr>
            <m:sty m:val="p"/>
          </m:rPr>
          <m:t>)</m:t>
        </m:r>
        <m:r>
          <m:rPr>
            <m:sty m:val="p"/>
          </m:rPr>
          <m:t>∈</m:t>
        </m:r>
        <m:sSup>
          <m:e>
            <m:r>
              <m:rPr>
                <m:scr m:val="double-struck"/>
                <m:sty m:val="p"/>
              </m:rPr>
              <m:t>R</m:t>
            </m:r>
          </m:e>
          <m:sup>
            <m:sSub>
              <m:e>
                <m:r>
                  <m:t>N</m:t>
                </m:r>
              </m:e>
              <m:sub>
                <m:r>
                  <m:t>o</m:t>
                </m:r>
              </m:sub>
            </m:sSub>
          </m:sup>
        </m:sSup>
      </m:oMath>
    </w:p>
    <w:p>
      <w:pPr>
        <w:pStyle w:val="Compact"/>
        <w:numPr>
          <w:ilvl w:val="0"/>
          <w:numId w:val="1012"/>
        </w:numPr>
      </w:pPr>
      <w:r>
        <w:rPr>
          <w:b/>
          <w:bCs/>
        </w:rPr>
        <w:t xml:space="preserve">Startverteilung:</w:t>
      </w:r>
      <w:r>
        <w:t xml:space="preserve"> </w:t>
      </w:r>
      <m:oMath>
        <m:r>
          <m:t>D</m:t>
        </m:r>
        <m:r>
          <m:rPr>
            <m:sty m:val="p"/>
          </m:rPr>
          <m:t>=</m:t>
        </m:r>
        <m:r>
          <m:t>P</m:t>
        </m:r>
        <m:r>
          <m:rPr>
            <m:sty m:val="p"/>
          </m:rPr>
          <m:t>(</m:t>
        </m:r>
        <m:sSub>
          <m:e>
            <m:r>
              <m:t>s</m:t>
            </m:r>
          </m:e>
          <m:sub>
            <m:r>
              <m:t>1</m:t>
            </m:r>
          </m:sub>
        </m:sSub>
        <m:r>
          <m:rPr>
            <m:sty m:val="p"/>
          </m:rPr>
          <m:t>)</m:t>
        </m:r>
        <m:r>
          <m:rPr>
            <m:sty m:val="p"/>
          </m:rPr>
          <m:t>∈</m:t>
        </m:r>
        <m:sSup>
          <m:e>
            <m:r>
              <m:rPr>
                <m:scr m:val="double-struck"/>
                <m:sty m:val="p"/>
              </m:rPr>
              <m:t>R</m:t>
            </m:r>
          </m:e>
          <m:sup>
            <m:sSub>
              <m:e>
                <m:r>
                  <m:t>N</m:t>
                </m:r>
              </m:e>
              <m:sub>
                <m:r>
                  <m:t>s</m:t>
                </m:r>
              </m:sub>
            </m:sSub>
          </m:sup>
        </m:sSup>
      </m:oMath>
    </w:p>
    <w:bookmarkEnd w:id="53"/>
    <w:bookmarkStart w:id="54" w:name="zustandsschätzung-perzeptuelle-inferenz"/>
    <w:p>
      <w:pPr>
        <w:pStyle w:val="Heading3"/>
      </w:pPr>
      <w:r>
        <w:t xml:space="preserve">2. Zustandsschätzung (Perzeptuelle Inferenz)</w:t>
      </w:r>
    </w:p>
    <w:p>
      <w:pPr>
        <w:pStyle w:val="FirstParagraph"/>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bookmarkEnd w:id="54"/>
    <w:bookmarkStart w:id="55" w:name="X6dd83cadc39ed38ff9054e5083a54116c08091a"/>
    <w:p>
      <w:pPr>
        <w:pStyle w:val="Heading3"/>
      </w:pPr>
      <w:r>
        <w:t xml:space="preserve">3. Erwartete Freie Energie (</w:t>
      </w:r>
      <m:oMath>
        <m:r>
          <m:rPr>
            <m:sty m:val="b"/>
          </m:rPr>
          <m:t>G</m:t>
        </m:r>
      </m:oMath>
      <w:r>
        <w:t xml:space="preserve">) über Horizont</w:t>
      </w:r>
      <w:r>
        <w:t xml:space="preserve"> </w:t>
      </w:r>
      <m:oMath>
        <m:r>
          <m:t>H</m:t>
        </m:r>
      </m:oMath>
    </w:p>
    <w:p>
      <w:pPr>
        <w:pStyle w:val="FirstParagraph"/>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r>
            <m:rPr>
              <m:sty m:val="p"/>
            </m:rPr>
            <m:t>+</m:t>
          </m:r>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56"/>
    <w:bookmarkEnd w:id="57"/>
    <w:bookmarkStart w:id="58" w:name="akademische-bibliographie-auswahl"/>
    <w:p>
      <w:pPr>
        <w:pStyle w:val="Heading2"/>
      </w:pPr>
      <w:r>
        <w:t xml:space="preserve">Akademische Bibliographie (Auswahl)</w:t>
      </w:r>
    </w:p>
    <w:p>
      <w:pPr>
        <w:pStyle w:val="Compact"/>
        <w:numPr>
          <w:ilvl w:val="0"/>
          <w:numId w:val="1013"/>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3"/>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3"/>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3"/>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3"/>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3"/>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3"/>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3"/>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3"/>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3"/>
        </w:numPr>
      </w:pPr>
      <w:r>
        <w:rPr>
          <w:b/>
          <w:bCs/>
        </w:rPr>
        <w:t xml:space="preserve">Roth, G. (2021).</w:t>
      </w:r>
      <w:r>
        <w:t xml:space="preserve"> </w:t>
      </w:r>
      <w:r>
        <w:rPr>
          <w:i/>
          <w:iCs/>
        </w:rPr>
        <w:t xml:space="preserve">Wie das Gehirn die Seele macht.</w:t>
      </w:r>
      <w:r>
        <w:t xml:space="preserve"> </w:t>
      </w:r>
      <w:r>
        <w:t xml:space="preserve">Klett-Cotta.</w:t>
      </w:r>
    </w:p>
    <w:p>
      <w:pPr>
        <w:pStyle w:val="Compact"/>
        <w:numPr>
          <w:ilvl w:val="0"/>
          <w:numId w:val="1013"/>
        </w:numPr>
      </w:pPr>
      <w:r>
        <w:rPr>
          <w:b/>
          <w:bCs/>
        </w:rPr>
        <w:t xml:space="preserve">Schopenhauer, A. (1819).</w:t>
      </w:r>
      <w:r>
        <w:t xml:space="preserve"> </w:t>
      </w:r>
      <w:r>
        <w:rPr>
          <w:i/>
          <w:iCs/>
        </w:rPr>
        <w:t xml:space="preserve">Die Welt als Wille und Vorstellung.</w:t>
      </w:r>
      <w:r>
        <w:t xml:space="preserve"> </w:t>
      </w:r>
      <w:r>
        <w:t xml:space="preserve">F. A. Brockhaus.</w:t>
      </w:r>
    </w:p>
    <w:p>
      <w:pPr>
        <w:pStyle w:val="Compact"/>
        <w:numPr>
          <w:ilvl w:val="0"/>
          <w:numId w:val="1013"/>
        </w:numPr>
      </w:pPr>
      <w:r>
        <w:rPr>
          <w:b/>
          <w:bCs/>
        </w:rPr>
        <w:t xml:space="preserve">Spinoza, B. (1677).</w:t>
      </w:r>
      <w:r>
        <w:t xml:space="preserve"> </w:t>
      </w:r>
      <w:r>
        <w:rPr>
          <w:i/>
          <w:iCs/>
        </w:rPr>
        <w:t xml:space="preserve">Ethica, ordine geometrico demonstrata.</w:t>
      </w:r>
    </w:p>
    <w:p>
      <w:pPr>
        <w:pStyle w:val="Compact"/>
        <w:numPr>
          <w:ilvl w:val="0"/>
          <w:numId w:val="1013"/>
        </w:numPr>
      </w:pPr>
      <w:r>
        <w:rPr>
          <w:b/>
          <w:bCs/>
        </w:rPr>
        <w:t xml:space="preserve">Tononi, G., Albantakis, L., et al. (2023).</w:t>
      </w:r>
      <w:r>
        <w:t xml:space="preserve"> </w:t>
      </w:r>
      <w:r>
        <w:rPr>
          <w:i/>
          <w:iCs/>
        </w:rPr>
        <w:t xml:space="preserve">Integrated Information Theory (IIT) 4.0.</w:t>
      </w:r>
      <w:r>
        <w:t xml:space="preserve"> </w:t>
      </w:r>
      <w:r>
        <w:t xml:space="preserve">PLOS Computational Biology, 19(10), e1011465.</w:t>
      </w:r>
    </w:p>
    <w:p>
      <w:r>
        <w:pict>
          <v:rect style="width:0;height:1.5pt" o:hralign="center" o:hrstd="t" o:hr="t"/>
        </w:pict>
      </w:r>
    </w:p>
    <w:bookmarkEnd w:id="58"/>
    <w:bookmarkStart w:id="59"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2026-09-03T12:16:44Z</dcterms:created>
  <dcterms:modified xsi:type="dcterms:W3CDTF">2026-09-03T12:16:44Z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