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4A3F3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GIS-BASED RENEWABLE ENERGY DECISION SUPPORT SYSTEM (DSS)</w:t>
      </w:r>
    </w:p>
    <w:p w14:paraId="15E264B7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Conceptual Framework</w:t>
      </w:r>
    </w:p>
    <w:p w14:paraId="293E863E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implements a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spatially explicit Decision Support System (DSS)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 for renewable energy planning, integrating raster-based multi-criteria suitability modelling with vector administrative boundaries and spatial database analytics. The core objective is to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translate heterogeneous geospatial datasets into actionable planning indicators at both site and regional scales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B0B01E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The methodology follows established GIS decision-analysis principles:</w:t>
      </w:r>
    </w:p>
    <w:p w14:paraId="3B61668F" w14:textId="77777777" w:rsidR="00D21613" w:rsidRPr="00D21613" w:rsidRDefault="00D21613" w:rsidP="00D2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Raster-based spatial modelling for continuous environmental variables</w:t>
      </w:r>
    </w:p>
    <w:p w14:paraId="22A858DD" w14:textId="77777777" w:rsidR="00D21613" w:rsidRPr="00D21613" w:rsidRDefault="00D21613" w:rsidP="00D2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Vector-based spatial aggregation for administrative reporting</w:t>
      </w:r>
    </w:p>
    <w:p w14:paraId="2F65D2C1" w14:textId="77777777" w:rsidR="00D21613" w:rsidRPr="00D21613" w:rsidRDefault="00D21613" w:rsidP="00D2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Zonal statistics and spatial joins for scale translation</w:t>
      </w:r>
    </w:p>
    <w:p w14:paraId="7052FFFD" w14:textId="77777777" w:rsidR="00D21613" w:rsidRPr="00D21613" w:rsidRDefault="00D21613" w:rsidP="00D2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Spatial normalization to enable cross-regional comparability</w:t>
      </w:r>
    </w:p>
    <w:p w14:paraId="3B3390DC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17AD9711">
          <v:rect id="_x0000_i1025" style="width:0;height:1.5pt" o:hralign="center" o:hrstd="t" o:hr="t" fillcolor="#a0a0a0" stroked="f"/>
        </w:pict>
      </w:r>
    </w:p>
    <w:p w14:paraId="44491CD1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Spatial Data Model</w:t>
      </w:r>
    </w:p>
    <w:p w14:paraId="43E3500C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Raster Datasets (Continuous Spatial Variables)</w:t>
      </w:r>
    </w:p>
    <w:p w14:paraId="0282B933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The system operates on a set of georeferenced raster layers representing environmental and terrain constraints:</w:t>
      </w:r>
    </w:p>
    <w:p w14:paraId="6C078F06" w14:textId="77777777" w:rsidR="00D21613" w:rsidRPr="00D21613" w:rsidRDefault="00D21613" w:rsidP="00D2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Global Horizontal Irradiance (GHI)</w:t>
      </w:r>
    </w:p>
    <w:p w14:paraId="7906CD8B" w14:textId="77777777" w:rsidR="00D21613" w:rsidRPr="00D21613" w:rsidRDefault="00D21613" w:rsidP="00D2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Wind Speed at reference height</w:t>
      </w:r>
    </w:p>
    <w:p w14:paraId="150841B6" w14:textId="77777777" w:rsidR="00D21613" w:rsidRPr="00D21613" w:rsidRDefault="00D21613" w:rsidP="00D2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Wind Power Density (WPD)</w:t>
      </w:r>
    </w:p>
    <w:p w14:paraId="78CDB277" w14:textId="77777777" w:rsidR="00D21613" w:rsidRPr="00D21613" w:rsidRDefault="00D21613" w:rsidP="00D2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Terrain slope (derived from DEM)</w:t>
      </w:r>
    </w:p>
    <w:p w14:paraId="064466C9" w14:textId="77777777" w:rsidR="00D21613" w:rsidRPr="00D21613" w:rsidRDefault="00D21613" w:rsidP="00D2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Composite solar suitability raster</w:t>
      </w:r>
    </w:p>
    <w:p w14:paraId="0927E1B3" w14:textId="77777777" w:rsidR="00D21613" w:rsidRPr="00D21613" w:rsidRDefault="00D21613" w:rsidP="00D2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Composite wind suitability raster</w:t>
      </w:r>
    </w:p>
    <w:p w14:paraId="5A0A37BD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Each raster represents a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spatially continuous field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, where pixel values encode either:</w:t>
      </w:r>
    </w:p>
    <w:p w14:paraId="550931D7" w14:textId="77777777" w:rsidR="00D21613" w:rsidRPr="00D21613" w:rsidRDefault="00D21613" w:rsidP="00D21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physical resource intensity (e.g., GHI, WPD), or</w:t>
      </w:r>
    </w:p>
    <w:p w14:paraId="5CC9D953" w14:textId="77777777" w:rsidR="00D21613" w:rsidRPr="00D21613" w:rsidRDefault="00D21613" w:rsidP="00D21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normalized suitability indices derived through multi-criteria evaluation.</w:t>
      </w:r>
    </w:p>
    <w:p w14:paraId="46A32549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All raster layers are stored in their native coordinate reference systems and dynamically reprojected during point-based sampling to preserve spatial accuracy.</w:t>
      </w:r>
    </w:p>
    <w:p w14:paraId="7BDA3D14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79892AFC">
          <v:rect id="_x0000_i1026" style="width:0;height:1.5pt" o:hralign="center" o:hrstd="t" o:hr="t" fillcolor="#a0a0a0" stroked="f"/>
        </w:pict>
      </w:r>
    </w:p>
    <w:p w14:paraId="7E66271E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2.2 Vector Datasets (Discrete Spatial Units)</w:t>
      </w:r>
    </w:p>
    <w:p w14:paraId="2FF797AB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Administrative boundaries (federal states) are represented as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MULTIPOLYGON geometries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 stored in a </w:t>
      </w:r>
      <w:proofErr w:type="spellStart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>PostGIS</w:t>
      </w:r>
      <w:proofErr w:type="spellEnd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>-enabled spatial database. These geometries serve as:</w:t>
      </w:r>
    </w:p>
    <w:p w14:paraId="48825902" w14:textId="77777777" w:rsidR="00D21613" w:rsidRPr="00D21613" w:rsidRDefault="00D21613" w:rsidP="00D21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Spatial masks for zonal aggregation</w:t>
      </w:r>
    </w:p>
    <w:p w14:paraId="4B9D6C0E" w14:textId="77777777" w:rsidR="00D21613" w:rsidRPr="00D21613" w:rsidRDefault="00D21613" w:rsidP="00D21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Administrative units for policy-level reporting</w:t>
      </w:r>
    </w:p>
    <w:p w14:paraId="7147361E" w14:textId="77777777" w:rsidR="00D21613" w:rsidRPr="00D21613" w:rsidRDefault="00D21613" w:rsidP="00D21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Containers for linking spatial statistics to governance structures</w:t>
      </w:r>
    </w:p>
    <w:p w14:paraId="53F3FF5A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1E42EE26">
          <v:rect id="_x0000_i1027" style="width:0;height:1.5pt" o:hralign="center" o:hrstd="t" o:hr="t" fillcolor="#a0a0a0" stroked="f"/>
        </w:pict>
      </w:r>
    </w:p>
    <w:p w14:paraId="5298139C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Suitability Modelling Approach</w:t>
      </w:r>
    </w:p>
    <w:p w14:paraId="2F352170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Multi-Criteria Evaluation (MCE)</w:t>
      </w:r>
    </w:p>
    <w:p w14:paraId="24509065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Solar and wind suitability layers are not raw measurements but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 indices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 produced through raster-based MCE. The underlying workflow follows:</w:t>
      </w:r>
    </w:p>
    <w:p w14:paraId="41C029D7" w14:textId="77777777" w:rsidR="00D21613" w:rsidRPr="00D21613" w:rsidRDefault="00D21613" w:rsidP="00D21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Reclassification of raw environmental </w:t>
      </w:r>
      <w:proofErr w:type="spellStart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rasters</w:t>
      </w:r>
      <w:proofErr w:type="spellEnd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 into suitability classes</w:t>
      </w:r>
    </w:p>
    <w:p w14:paraId="0411EAF6" w14:textId="77777777" w:rsidR="00D21613" w:rsidRPr="00D21613" w:rsidRDefault="00D21613" w:rsidP="00D21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Normalization of criteria to a common scale</w:t>
      </w:r>
    </w:p>
    <w:p w14:paraId="3E6F8847" w14:textId="77777777" w:rsidR="00D21613" w:rsidRPr="00D21613" w:rsidRDefault="00D21613" w:rsidP="00D21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Weighted overlay to reflect relative importance of factors</w:t>
      </w:r>
    </w:p>
    <w:p w14:paraId="57CBEC60" w14:textId="77777777" w:rsidR="00D21613" w:rsidRPr="00D21613" w:rsidRDefault="00D21613" w:rsidP="00D21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Generation of final suitability surfaces</w:t>
      </w:r>
    </w:p>
    <w:p w14:paraId="4537FDE2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This approach ensures:</w:t>
      </w:r>
    </w:p>
    <w:p w14:paraId="1013AD3B" w14:textId="77777777" w:rsidR="00D21613" w:rsidRPr="00D21613" w:rsidRDefault="00D21613" w:rsidP="00D21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Dimensional consistency across heterogeneous datasets</w:t>
      </w:r>
    </w:p>
    <w:p w14:paraId="5DE97A03" w14:textId="77777777" w:rsidR="00D21613" w:rsidRPr="00D21613" w:rsidRDefault="00D21613" w:rsidP="00D21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Explicit encoding of planning assumptions</w:t>
      </w:r>
    </w:p>
    <w:p w14:paraId="60FAAD2A" w14:textId="77777777" w:rsidR="00D21613" w:rsidRPr="00D21613" w:rsidRDefault="00D21613" w:rsidP="00D21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Spatial transparency in decision criteria</w:t>
      </w:r>
    </w:p>
    <w:p w14:paraId="0BD20990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08B6F12A">
          <v:rect id="_x0000_i1028" style="width:0;height:1.5pt" o:hralign="center" o:hrstd="t" o:hr="t" fillcolor="#a0a0a0" stroked="f"/>
        </w:pict>
      </w:r>
    </w:p>
    <w:p w14:paraId="13C5A2F8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Suitability Classification</w:t>
      </w:r>
    </w:p>
    <w:p w14:paraId="2009CCC7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Final suitability </w:t>
      </w:r>
      <w:proofErr w:type="spellStart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rasters</w:t>
      </w:r>
      <w:proofErr w:type="spellEnd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 are discretized into ordinal classes:</w:t>
      </w:r>
    </w:p>
    <w:p w14:paraId="3301A91D" w14:textId="77777777" w:rsidR="00D21613" w:rsidRPr="00D21613" w:rsidRDefault="00D21613" w:rsidP="00D21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Lowest</w:t>
      </w:r>
    </w:p>
    <w:p w14:paraId="61C18790" w14:textId="77777777" w:rsidR="00D21613" w:rsidRPr="00D21613" w:rsidRDefault="00D21613" w:rsidP="00D21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Low</w:t>
      </w:r>
    </w:p>
    <w:p w14:paraId="587A8AD5" w14:textId="77777777" w:rsidR="00D21613" w:rsidRPr="00D21613" w:rsidRDefault="00D21613" w:rsidP="00D21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Moderate</w:t>
      </w:r>
    </w:p>
    <w:p w14:paraId="702D0051" w14:textId="77777777" w:rsidR="00D21613" w:rsidRPr="00D21613" w:rsidRDefault="00D21613" w:rsidP="00D21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High</w:t>
      </w:r>
    </w:p>
    <w:p w14:paraId="097215B2" w14:textId="77777777" w:rsidR="00D21613" w:rsidRPr="00D21613" w:rsidRDefault="00D21613" w:rsidP="00D21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Highest</w:t>
      </w:r>
    </w:p>
    <w:p w14:paraId="78B70149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These classes enable:</w:t>
      </w:r>
    </w:p>
    <w:p w14:paraId="1FB9537E" w14:textId="77777777" w:rsidR="00D21613" w:rsidRPr="00D21613" w:rsidRDefault="00D21613" w:rsidP="00D21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Area-based suitability estimation</w:t>
      </w:r>
    </w:p>
    <w:p w14:paraId="23C4D9EC" w14:textId="77777777" w:rsidR="00D21613" w:rsidRPr="00D21613" w:rsidRDefault="00D21613" w:rsidP="00D21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Threshold-based land availability analysis</w:t>
      </w:r>
    </w:p>
    <w:p w14:paraId="51E901B5" w14:textId="77777777" w:rsidR="00D21613" w:rsidRPr="00D21613" w:rsidRDefault="00D21613" w:rsidP="00D21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Cartographically meaningful visualization</w:t>
      </w:r>
    </w:p>
    <w:p w14:paraId="72F367D3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6D4E8510">
          <v:rect id="_x0000_i1029" style="width:0;height:1.5pt" o:hralign="center" o:hrstd="t" o:hr="t" fillcolor="#a0a0a0" stroked="f"/>
        </w:pict>
      </w:r>
    </w:p>
    <w:p w14:paraId="7EE2F924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Scale-Dependent Analysis</w:t>
      </w:r>
    </w:p>
    <w:p w14:paraId="647CE511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Site-Level Analysis (Pixel Sampling)</w:t>
      </w:r>
    </w:p>
    <w:p w14:paraId="266CBB48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At the site scale, the system performs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raster cell sampling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 at user-defined geographic coordinates. This process:</w:t>
      </w:r>
    </w:p>
    <w:p w14:paraId="34598788" w14:textId="77777777" w:rsidR="00D21613" w:rsidRPr="00D21613" w:rsidRDefault="00D21613" w:rsidP="00D21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Reprojects input coordinates to raster CRS where necessary</w:t>
      </w:r>
    </w:p>
    <w:p w14:paraId="69B14618" w14:textId="77777777" w:rsidR="00D21613" w:rsidRPr="00D21613" w:rsidRDefault="00D21613" w:rsidP="00D21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Extracts cell-level values from each raster layer</w:t>
      </w:r>
    </w:p>
    <w:p w14:paraId="50DAF0D1" w14:textId="77777777" w:rsidR="00D21613" w:rsidRPr="00D21613" w:rsidRDefault="00D21613" w:rsidP="00D21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Returns location-specific environmental and suitability metrics</w:t>
      </w:r>
    </w:p>
    <w:p w14:paraId="7A55638E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This mode supports </w:t>
      </w:r>
      <w:proofErr w:type="spellStart"/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micrositing</w:t>
      </w:r>
      <w:proofErr w:type="spellEnd"/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analysis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, where local variability in resource availability and terrain constraints is critical.</w:t>
      </w:r>
    </w:p>
    <w:p w14:paraId="38D9326D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7853A87A">
          <v:rect id="_x0000_i1030" style="width:0;height:1.5pt" o:hralign="center" o:hrstd="t" o:hr="t" fillcolor="#a0a0a0" stroked="f"/>
        </w:pict>
      </w:r>
    </w:p>
    <w:p w14:paraId="7F70528A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Regional-Level Analysis (Zonal Statistics)</w:t>
      </w:r>
    </w:p>
    <w:p w14:paraId="131B7B43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At the regional scale, raster values are aggregated within administrative boundaries using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zonal statistical operations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. Metrics such as mean values and area thresholds are precomputed to ensure computational efficiency and consistency.</w:t>
      </w:r>
    </w:p>
    <w:p w14:paraId="20546806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612767DF" w14:textId="77777777" w:rsidR="00D21613" w:rsidRPr="00D21613" w:rsidRDefault="00D21613" w:rsidP="00D21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Comparison of renewable energy potential across states</w:t>
      </w:r>
    </w:p>
    <w:p w14:paraId="3FC8D0F8" w14:textId="77777777" w:rsidR="00D21613" w:rsidRPr="00D21613" w:rsidRDefault="00D21613" w:rsidP="00D21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Translation of raster variability into governance-aligned indicators</w:t>
      </w:r>
    </w:p>
    <w:p w14:paraId="160596B5" w14:textId="77777777" w:rsidR="00D21613" w:rsidRPr="00D21613" w:rsidRDefault="00D21613" w:rsidP="00D21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Strategic, policy-oriented decision support</w:t>
      </w:r>
    </w:p>
    <w:p w14:paraId="6F7364B5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3C733F4A">
          <v:rect id="_x0000_i1031" style="width:0;height:1.5pt" o:hralign="center" o:hrstd="t" o:hr="t" fillcolor="#a0a0a0" stroked="f"/>
        </w:pict>
      </w:r>
    </w:p>
    <w:p w14:paraId="38EB747B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Interpretation of Reported Metrics</w:t>
      </w:r>
    </w:p>
    <w:p w14:paraId="3BE06EEC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Highly Suitable Area (km²)</w:t>
      </w:r>
    </w:p>
    <w:p w14:paraId="2C0C1E37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Highly suitable area represents the cumulative surface area of raster cells classified as high or very high suitability within a given administrative unit. Computation involves:</w:t>
      </w:r>
    </w:p>
    <w:p w14:paraId="67EFEC95" w14:textId="77777777" w:rsidR="00D21613" w:rsidRPr="00D21613" w:rsidRDefault="00D21613" w:rsidP="00D21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Thresholding suitability </w:t>
      </w:r>
      <w:proofErr w:type="spellStart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rasters</w:t>
      </w:r>
      <w:proofErr w:type="spellEnd"/>
    </w:p>
    <w:p w14:paraId="7A5410B4" w14:textId="77777777" w:rsidR="00D21613" w:rsidRPr="00D21613" w:rsidRDefault="00D21613" w:rsidP="00D21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Counting qualifying pixels within state polygons</w:t>
      </w:r>
    </w:p>
    <w:p w14:paraId="0611BDE8" w14:textId="77777777" w:rsidR="00D21613" w:rsidRPr="00D21613" w:rsidRDefault="00D21613" w:rsidP="00D21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Converting pixel counts to square kilometers</w:t>
      </w:r>
    </w:p>
    <w:p w14:paraId="71AF3223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metric quantifies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feasibility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, not theoretical capacity, and is directly relevant to land-use planning.</w:t>
      </w:r>
    </w:p>
    <w:p w14:paraId="69236625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2C4FD42C">
          <v:rect id="_x0000_i1032" style="width:0;height:1.5pt" o:hralign="center" o:hrstd="t" o:hr="t" fillcolor="#a0a0a0" stroked="f"/>
        </w:pict>
      </w:r>
    </w:p>
    <w:p w14:paraId="0E1275FB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Suitability Indices</w:t>
      </w:r>
    </w:p>
    <w:p w14:paraId="7544DE2B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Solar and wind suitability scores are spatially averaged indices derived from composite suitability </w:t>
      </w:r>
      <w:proofErr w:type="spellStart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rasters</w:t>
      </w:r>
      <w:proofErr w:type="spellEnd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>. These values:</w:t>
      </w:r>
    </w:p>
    <w:p w14:paraId="6E0C1C77" w14:textId="77777777" w:rsidR="00D21613" w:rsidRPr="00D21613" w:rsidRDefault="00D21613" w:rsidP="00D2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Represent mean spatial favorability</w:t>
      </w:r>
    </w:p>
    <w:p w14:paraId="61AD0361" w14:textId="77777777" w:rsidR="00D21613" w:rsidRPr="00D21613" w:rsidRDefault="00D21613" w:rsidP="00D2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Are normalized to facilitate inter-regional comparison</w:t>
      </w:r>
    </w:p>
    <w:p w14:paraId="45678DB5" w14:textId="77777777" w:rsidR="00D21613" w:rsidRPr="00D21613" w:rsidRDefault="00D21613" w:rsidP="00D2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Abstract spatial heterogeneity into interpretable planning indicators</w:t>
      </w:r>
    </w:p>
    <w:p w14:paraId="30B4410E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They do not replace spatial detail but summarize it for decision-making contexts.</w:t>
      </w:r>
    </w:p>
    <w:p w14:paraId="0E3089EF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0D8B711B">
          <v:rect id="_x0000_i1033" style="width:0;height:1.5pt" o:hralign="center" o:hrstd="t" o:hr="t" fillcolor="#a0a0a0" stroked="f"/>
        </w:pict>
      </w:r>
    </w:p>
    <w:p w14:paraId="7728531D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Environmental Characteristics</w:t>
      </w:r>
    </w:p>
    <w:p w14:paraId="61096FB3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Mean GHI, wind speed, and WPD values are derived via zonal statistics applied to their respective </w:t>
      </w:r>
      <w:proofErr w:type="spellStart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rasters</w:t>
      </w:r>
      <w:proofErr w:type="spellEnd"/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. These values characterize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resource intensity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, providing physical context for suitability outcomes.</w:t>
      </w:r>
    </w:p>
    <w:p w14:paraId="420F2315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Slope, derived from DEM analysis, functions as a terrain constraint. Its exclusion or null representation at regional scale reflects the high spatial variability of terrain and its greater relevance at site-specific resolution.</w:t>
      </w:r>
    </w:p>
    <w:p w14:paraId="59C1BC89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397ED979">
          <v:rect id="_x0000_i1034" style="width:0;height:1.5pt" o:hralign="center" o:hrstd="t" o:hr="t" fillcolor="#a0a0a0" stroked="f"/>
        </w:pict>
      </w:r>
    </w:p>
    <w:p w14:paraId="786AC0C9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Spatialized Techno-Economic Estimation</w:t>
      </w:r>
    </w:p>
    <w:p w14:paraId="3272EA3D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Levelized Cost of Energy (LCOE) estimates are spatially differentiated by linking:</w:t>
      </w:r>
    </w:p>
    <w:p w14:paraId="7D90EC84" w14:textId="77777777" w:rsidR="00D21613" w:rsidRPr="00D21613" w:rsidRDefault="00D21613" w:rsidP="00D2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Resource intensity</w:t>
      </w:r>
    </w:p>
    <w:p w14:paraId="3BCE734C" w14:textId="77777777" w:rsidR="00D21613" w:rsidRPr="00D21613" w:rsidRDefault="00D21613" w:rsidP="00D2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Suitability indices</w:t>
      </w:r>
    </w:p>
    <w:p w14:paraId="7A2A0173" w14:textId="77777777" w:rsidR="00D21613" w:rsidRPr="00D21613" w:rsidRDefault="00D21613" w:rsidP="00D2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Regional averages</w:t>
      </w:r>
    </w:p>
    <w:p w14:paraId="3886869F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GIS enables the transformation of LCOE from a non-spatial, national-average metric into a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spatially variable indicator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, reflecting geographic differences in resource quality. This integration exemplifies the role of GIS in coupling physical geography with economic modelling.</w:t>
      </w:r>
    </w:p>
    <w:p w14:paraId="1BE766B1" w14:textId="77777777" w:rsidR="00D21613" w:rsidRPr="00D21613" w:rsidRDefault="00D21613" w:rsidP="00D216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pict w14:anchorId="5269C76E">
          <v:rect id="_x0000_i1035" style="width:0;height:1.5pt" o:hralign="center" o:hrstd="t" o:hr="t" fillcolor="#a0a0a0" stroked="f"/>
        </w:pict>
      </w:r>
    </w:p>
    <w:p w14:paraId="175B617B" w14:textId="77777777" w:rsidR="00D21613" w:rsidRPr="00D21613" w:rsidRDefault="00D21613" w:rsidP="00D21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1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Decision Support Significance</w:t>
      </w:r>
    </w:p>
    <w:p w14:paraId="27B7629C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From a GIS perspective, the system:</w:t>
      </w:r>
    </w:p>
    <w:p w14:paraId="414EB39E" w14:textId="77777777" w:rsidR="00D21613" w:rsidRPr="00D21613" w:rsidRDefault="00D21613" w:rsidP="00D21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Integrates raster and vector paradigms coherently</w:t>
      </w:r>
    </w:p>
    <w:p w14:paraId="034D900A" w14:textId="77777777" w:rsidR="00D21613" w:rsidRPr="00D21613" w:rsidRDefault="00D21613" w:rsidP="00D21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Implements spatial multi-criteria decision analysis</w:t>
      </w:r>
    </w:p>
    <w:p w14:paraId="519B88BA" w14:textId="77777777" w:rsidR="00D21613" w:rsidRPr="00D21613" w:rsidRDefault="00D21613" w:rsidP="00D21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Supports multi-scale planning workflows</w:t>
      </w:r>
    </w:p>
    <w:p w14:paraId="56D93125" w14:textId="77777777" w:rsidR="00D21613" w:rsidRPr="00D21613" w:rsidRDefault="00D21613" w:rsidP="00D21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Translates spatial complexity into policy-relevant indicators</w:t>
      </w:r>
    </w:p>
    <w:p w14:paraId="653F46A9" w14:textId="77777777" w:rsidR="00D21613" w:rsidRPr="00D21613" w:rsidRDefault="00D21613" w:rsidP="00D2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613">
        <w:rPr>
          <w:rFonts w:ascii="Times New Roman" w:eastAsia="Times New Roman" w:hAnsi="Times New Roman" w:cs="Times New Roman"/>
          <w:kern w:val="0"/>
          <w14:ligatures w14:val="none"/>
        </w:rPr>
        <w:t xml:space="preserve">The DSS demonstrates how geospatial analysis can operationalize renewable energy planning beyond visualization, functioning as a </w:t>
      </w:r>
      <w:r w:rsidRPr="00D21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spatial reasoning framework</w:t>
      </w:r>
      <w:r w:rsidRPr="00D216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5AB90" w14:textId="77777777" w:rsidR="00D21613" w:rsidRDefault="00D21613"/>
    <w:sectPr w:rsidR="00D216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0D1"/>
    <w:multiLevelType w:val="multilevel"/>
    <w:tmpl w:val="CD7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91E"/>
    <w:multiLevelType w:val="multilevel"/>
    <w:tmpl w:val="F8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7C58"/>
    <w:multiLevelType w:val="multilevel"/>
    <w:tmpl w:val="3872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33CAC"/>
    <w:multiLevelType w:val="multilevel"/>
    <w:tmpl w:val="BAF2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2415E"/>
    <w:multiLevelType w:val="multilevel"/>
    <w:tmpl w:val="E59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71BEB"/>
    <w:multiLevelType w:val="multilevel"/>
    <w:tmpl w:val="62B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E2592"/>
    <w:multiLevelType w:val="multilevel"/>
    <w:tmpl w:val="F16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83CBB"/>
    <w:multiLevelType w:val="multilevel"/>
    <w:tmpl w:val="48E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B5B03"/>
    <w:multiLevelType w:val="multilevel"/>
    <w:tmpl w:val="84A8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824F3E"/>
    <w:multiLevelType w:val="multilevel"/>
    <w:tmpl w:val="68F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E3A46"/>
    <w:multiLevelType w:val="multilevel"/>
    <w:tmpl w:val="984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A615A"/>
    <w:multiLevelType w:val="multilevel"/>
    <w:tmpl w:val="ED7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77CB4"/>
    <w:multiLevelType w:val="multilevel"/>
    <w:tmpl w:val="8C2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E7E11"/>
    <w:multiLevelType w:val="multilevel"/>
    <w:tmpl w:val="63A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562535">
    <w:abstractNumId w:val="4"/>
  </w:num>
  <w:num w:numId="2" w16cid:durableId="595288339">
    <w:abstractNumId w:val="11"/>
  </w:num>
  <w:num w:numId="3" w16cid:durableId="895429155">
    <w:abstractNumId w:val="13"/>
  </w:num>
  <w:num w:numId="4" w16cid:durableId="289631083">
    <w:abstractNumId w:val="6"/>
  </w:num>
  <w:num w:numId="5" w16cid:durableId="935482481">
    <w:abstractNumId w:val="8"/>
  </w:num>
  <w:num w:numId="6" w16cid:durableId="2106538377">
    <w:abstractNumId w:val="5"/>
  </w:num>
  <w:num w:numId="7" w16cid:durableId="318849591">
    <w:abstractNumId w:val="0"/>
  </w:num>
  <w:num w:numId="8" w16cid:durableId="263731340">
    <w:abstractNumId w:val="12"/>
  </w:num>
  <w:num w:numId="9" w16cid:durableId="1778793200">
    <w:abstractNumId w:val="2"/>
  </w:num>
  <w:num w:numId="10" w16cid:durableId="1406296689">
    <w:abstractNumId w:val="10"/>
  </w:num>
  <w:num w:numId="11" w16cid:durableId="1920212900">
    <w:abstractNumId w:val="9"/>
  </w:num>
  <w:num w:numId="12" w16cid:durableId="1316952706">
    <w:abstractNumId w:val="1"/>
  </w:num>
  <w:num w:numId="13" w16cid:durableId="916086691">
    <w:abstractNumId w:val="3"/>
  </w:num>
  <w:num w:numId="14" w16cid:durableId="90247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13"/>
    <w:rsid w:val="00676424"/>
    <w:rsid w:val="00D21613"/>
    <w:rsid w:val="00E9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18C3"/>
  <w15:chartTrackingRefBased/>
  <w15:docId w15:val="{76038AA0-4825-4DB4-BFD0-7C50C740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4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Kimani</dc:creator>
  <cp:keywords/>
  <dc:description/>
  <cp:lastModifiedBy>Peter Kimani</cp:lastModifiedBy>
  <cp:revision>1</cp:revision>
  <dcterms:created xsi:type="dcterms:W3CDTF">2026-01-13T06:41:00Z</dcterms:created>
  <dcterms:modified xsi:type="dcterms:W3CDTF">2026-01-13T09:01:00Z</dcterms:modified>
</cp:coreProperties>
</file>