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GrindLab</w:t>
      </w:r>
    </w:p>
    <w:p>
      <w:pPr>
        <w:jc w:val="center"/>
      </w:pPr>
      <w:r>
        <w:rPr>
          <w:b/>
          <w:sz w:val="36"/>
        </w:rPr>
        <w:t>Архитектура финального видения (Production)</w:t>
      </w:r>
    </w:p>
    <w:p>
      <w:pPr>
        <w:jc w:val="center"/>
      </w:pPr>
      <w:r>
        <w:rPr>
          <w:sz w:val="24"/>
        </w:rPr>
        <w:t>Mine-to-Mill платформа: INKA/DataHub + online-двойник + экономика + compute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Версия</w:t>
            </w:r>
          </w:p>
        </w:tc>
        <w:tc>
          <w:tcPr>
            <w:tcW w:type="dxa" w:w="4986"/>
          </w:tcPr>
          <w:p>
            <w:r>
              <w:t>1.0</w:t>
            </w:r>
          </w:p>
        </w:tc>
      </w:tr>
      <w:tr>
        <w:tc>
          <w:tcPr>
            <w:tcW w:type="dxa" w:w="4986"/>
          </w:tcPr>
          <w:p>
            <w:r>
              <w:t>Дата</w:t>
            </w:r>
          </w:p>
        </w:tc>
        <w:tc>
          <w:tcPr>
            <w:tcW w:type="dxa" w:w="4986"/>
          </w:tcPr>
          <w:p>
            <w:r>
              <w:t>24.12.2025</w:t>
            </w:r>
          </w:p>
        </w:tc>
      </w:tr>
      <w:tr>
        <w:tc>
          <w:tcPr>
            <w:tcW w:type="dxa" w:w="4986"/>
          </w:tcPr>
          <w:p>
            <w:r>
              <w:t>Владелец продукта</w:t>
            </w:r>
          </w:p>
        </w:tc>
        <w:tc>
          <w:tcPr>
            <w:tcW w:type="dxa" w:w="4986"/>
          </w:tcPr>
          <w:p>
            <w:r>
              <w:t>Алексей</w:t>
            </w:r>
          </w:p>
        </w:tc>
      </w:tr>
      <w:tr>
        <w:tc>
          <w:tcPr>
            <w:tcW w:type="dxa" w:w="4986"/>
          </w:tcPr>
          <w:p>
            <w:r>
              <w:t>Назначение</w:t>
            </w:r>
          </w:p>
        </w:tc>
        <w:tc>
          <w:tcPr>
            <w:tcW w:type="dxa" w:w="4986"/>
          </w:tcPr>
          <w:p>
            <w:r>
              <w:t>Описание архитектуры для согласования и дальнейшей декомпозиции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Calibri"/>
        </w:rPr>
        <w:t>1. Цель финальной архитектуры</w:t>
      </w:r>
    </w:p>
    <w:p>
      <w:r>
        <w:t>Финальная архитектура описывает целевое состояние GrindLab как промышленной платформы Mine-to-Mill: сквозная интеграция данных предприятия, поддержка событий/подписок, онлайн-двойник и контур рекомендаций, масштабируемая вычислительная платформа и экономический слой для оптимизации «в деньгах».</w:t>
      </w:r>
    </w:p>
    <w:p>
      <w:pPr>
        <w:pStyle w:val="Heading1"/>
      </w:pPr>
      <w:r>
        <w:rPr>
          <w:rFonts w:ascii="Calibri" w:hAnsi="Calibri" w:eastAsia="Calibri"/>
        </w:rPr>
        <w:t>2. Схема архитектуры</w:t>
      </w:r>
    </w:p>
    <w:p/>
    <w:p>
      <w:r>
        <w:drawing>
          <wp:inline xmlns:a="http://schemas.openxmlformats.org/drawingml/2006/main" xmlns:pic="http://schemas.openxmlformats.org/drawingml/2006/picture">
            <wp:extent cx="5760720" cy="3240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ndLab_FinalVision_Architecture_v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1 — Архитектура финального видения (Production)</w:t>
      </w:r>
    </w:p>
    <w:p>
      <w:pPr>
        <w:pStyle w:val="Heading1"/>
      </w:pPr>
      <w:r>
        <w:rPr>
          <w:rFonts w:ascii="Calibri" w:hAnsi="Calibri" w:eastAsia="Calibri"/>
        </w:rPr>
        <w:t>3. Уровни архитектуры</w:t>
      </w:r>
    </w:p>
    <w:p>
      <w:pPr>
        <w:pStyle w:val="Heading2"/>
      </w:pPr>
      <w:r>
        <w:rPr>
          <w:rFonts w:ascii="Calibri" w:hAnsi="Calibri" w:eastAsia="Calibri"/>
        </w:rPr>
        <w:t>3.1 Уровень данных предприятия</w:t>
      </w:r>
    </w:p>
    <w:p>
      <w:pPr>
        <w:pStyle w:val="ListBullet"/>
      </w:pPr>
      <w:r>
        <w:t>MES/диспетчеризация, SCADA/АСУТП + Historian, LIMS, ГГИС/блок-модель/план.</w:t>
      </w:r>
    </w:p>
    <w:p>
      <w:pPr>
        <w:pStyle w:val="ListBullet"/>
      </w:pPr>
      <w:r>
        <w:t>Внешний продукт БВР — источник прогнозируемого PSD и качества с пространственной привязкой.</w:t>
      </w:r>
    </w:p>
    <w:p>
      <w:pPr>
        <w:pStyle w:val="Heading2"/>
      </w:pPr>
      <w:r>
        <w:rPr>
          <w:rFonts w:ascii="Calibri" w:hAnsi="Calibri" w:eastAsia="Calibri"/>
        </w:rPr>
        <w:t>3.2 Интеграционный слой INKA/DataHub</w:t>
      </w:r>
    </w:p>
    <w:p>
      <w:pPr>
        <w:pStyle w:val="ListBullet"/>
      </w:pPr>
      <w:r>
        <w:t>Коннекторы к источникам, стандартизация форматов и витрина данных.</w:t>
      </w:r>
    </w:p>
    <w:p>
      <w:pPr>
        <w:pStyle w:val="ListBullet"/>
      </w:pPr>
      <w:r>
        <w:t>Единый паспорт данных: эталонность, частота обновления, правила качества.</w:t>
      </w:r>
    </w:p>
    <w:p>
      <w:pPr>
        <w:pStyle w:val="ListBullet"/>
      </w:pPr>
      <w:r>
        <w:t>Event-driven контур: события, подписки и доставка изменений потребителям.</w:t>
      </w:r>
    </w:p>
    <w:p>
      <w:pPr>
        <w:pStyle w:val="Heading2"/>
      </w:pPr>
      <w:r>
        <w:rPr>
          <w:rFonts w:ascii="Calibri" w:hAnsi="Calibri" w:eastAsia="Calibri"/>
        </w:rPr>
        <w:t>3.3 Доступ и периметр (Security Edge)</w:t>
      </w:r>
    </w:p>
    <w:p>
      <w:pPr>
        <w:pStyle w:val="ListBullet"/>
      </w:pPr>
      <w:r>
        <w:t>Keycloak как единый IdP: OIDC/SSO/MFA; при необходимости федерация через SAML.</w:t>
      </w:r>
    </w:p>
    <w:p>
      <w:pPr>
        <w:pStyle w:val="ListBullet"/>
      </w:pPr>
      <w:r>
        <w:t>API Gateway/Reverse Proxy: TLS, маршрутизация, rate limit/WAF (опционально), единая точка входа.</w:t>
      </w:r>
    </w:p>
    <w:p>
      <w:pPr>
        <w:pStyle w:val="ListBullet"/>
      </w:pPr>
      <w:r>
        <w:t>Web UI как единое рабочее место (включая online-контур и экономику).</w:t>
      </w:r>
    </w:p>
    <w:p>
      <w:pPr>
        <w:pStyle w:val="Heading2"/>
      </w:pPr>
      <w:r>
        <w:rPr>
          <w:rFonts w:ascii="Calibri" w:hAnsi="Calibri" w:eastAsia="Calibri"/>
        </w:rPr>
        <w:t>3.4 Domain Layer: сервисы GrindLab</w:t>
      </w:r>
    </w:p>
    <w:p>
      <w:pPr>
        <w:pStyle w:val="ListBullet"/>
      </w:pPr>
      <w:r>
        <w:t>Project/Version Service: проекты, версии, ACL, аудит, согласования.</w:t>
      </w:r>
    </w:p>
    <w:p>
      <w:pPr>
        <w:pStyle w:val="ListBullet"/>
      </w:pPr>
      <w:r>
        <w:t>Materials Service: каталог материалов, приведение PSD до P240, блендинг, версии.</w:t>
      </w:r>
    </w:p>
    <w:p>
      <w:pPr>
        <w:pStyle w:val="ListBullet"/>
      </w:pPr>
      <w:r>
        <w:t>Flowsheet Service: схемы, параметры узлов, библиотека оборудования.</w:t>
      </w:r>
    </w:p>
    <w:p>
      <w:pPr>
        <w:pStyle w:val="ListBullet"/>
      </w:pPr>
      <w:r>
        <w:t>Model Registry: версии математических моделей, плагины, тестовые наборы и регрессия.</w:t>
      </w:r>
    </w:p>
    <w:p>
      <w:pPr>
        <w:pStyle w:val="ListBullet"/>
      </w:pPr>
      <w:r>
        <w:t>Reporting Service: отчёты, экспорт, интеграция в BI/корпоративные витрины.</w:t>
      </w:r>
    </w:p>
    <w:p>
      <w:pPr>
        <w:pStyle w:val="Heading2"/>
      </w:pPr>
      <w:r>
        <w:rPr>
          <w:rFonts w:ascii="Calibri" w:hAnsi="Calibri" w:eastAsia="Calibri"/>
        </w:rPr>
        <w:t>3.5 Compute Platform</w:t>
      </w:r>
    </w:p>
    <w:p>
      <w:pPr>
        <w:pStyle w:val="ListBullet"/>
      </w:pPr>
      <w:r>
        <w:t>Оркестрация вычислений: очередь задач, планировщик, SLA и приоритеты.</w:t>
      </w:r>
    </w:p>
    <w:p>
      <w:pPr>
        <w:pStyle w:val="ListBullet"/>
      </w:pPr>
      <w:r>
        <w:t>Набор воркеров: solver/simulation, calibration, optimization.</w:t>
      </w:r>
    </w:p>
    <w:p>
      <w:pPr>
        <w:pStyle w:val="ListBullet"/>
      </w:pPr>
      <w:r>
        <w:t>Горизонтальное масштабирование (например, Kubernetes) для промышленных нагрузок.</w:t>
      </w:r>
    </w:p>
    <w:p>
      <w:pPr>
        <w:pStyle w:val="Heading2"/>
      </w:pPr>
      <w:r>
        <w:rPr>
          <w:rFonts w:ascii="Calibri" w:hAnsi="Calibri" w:eastAsia="Calibri"/>
        </w:rPr>
        <w:t>3.6 Online-двойник и рекомендации</w:t>
      </w:r>
    </w:p>
    <w:p>
      <w:pPr>
        <w:pStyle w:val="ListBullet"/>
      </w:pPr>
      <w:r>
        <w:t>Streaming ingest из INKA: факт/план/события, оперативные обновления материалов и режимов.</w:t>
      </w:r>
    </w:p>
    <w:p>
      <w:pPr>
        <w:pStyle w:val="ListBullet"/>
      </w:pPr>
      <w:r>
        <w:t>Real-time расчёт KPI и прогноз, выявление отклонений от оптимальной области.</w:t>
      </w:r>
    </w:p>
    <w:p>
      <w:pPr>
        <w:pStyle w:val="ListBullet"/>
      </w:pPr>
      <w:r>
        <w:t>Recommendation Engine: генерация рекомендаций, контроль рисков, сбор обратной связи (feedback loop).</w:t>
      </w:r>
    </w:p>
    <w:p>
      <w:pPr>
        <w:pStyle w:val="Heading2"/>
      </w:pPr>
      <w:r>
        <w:rPr>
          <w:rFonts w:ascii="Calibri" w:hAnsi="Calibri" w:eastAsia="Calibri"/>
        </w:rPr>
        <w:t>3.7 Экономический слой</w:t>
      </w:r>
    </w:p>
    <w:p>
      <w:pPr>
        <w:pStyle w:val="ListBullet"/>
      </w:pPr>
      <w:r>
        <w:t>Модель затрат/ценности: связь технологических KPI с себестоимостью и EBITDA.</w:t>
      </w:r>
    </w:p>
    <w:p>
      <w:pPr>
        <w:pStyle w:val="ListBullet"/>
      </w:pPr>
      <w:r>
        <w:t>Сценарный и оптимизационный режим «в деньгах» (trade-off технологических и экономических целей).</w:t>
      </w:r>
    </w:p>
    <w:p>
      <w:pPr>
        <w:pStyle w:val="ListBullet"/>
      </w:pPr>
      <w:r>
        <w:t>Подготовка управленческих отчётов и эффектов для руководства.</w:t>
      </w:r>
    </w:p>
    <w:p>
      <w:pPr>
        <w:pStyle w:val="Heading2"/>
      </w:pPr>
      <w:r>
        <w:rPr>
          <w:rFonts w:ascii="Calibri" w:hAnsi="Calibri" w:eastAsia="Calibri"/>
        </w:rPr>
        <w:t>3.8 Данные и наблюдаемость (Data &amp; Observability)</w:t>
      </w:r>
    </w:p>
    <w:p>
      <w:pPr>
        <w:pStyle w:val="ListBullet"/>
      </w:pPr>
      <w:r>
        <w:t>PostgreSQL для транзакционных данных (проекты/версии/ACL/аудит).</w:t>
      </w:r>
    </w:p>
    <w:p>
      <w:pPr>
        <w:pStyle w:val="ListBullet"/>
      </w:pPr>
      <w:r>
        <w:t>Time-series DB (опционально) для временных рядов сигналов и KPI (online).</w:t>
      </w:r>
    </w:p>
    <w:p>
      <w:pPr>
        <w:pStyle w:val="ListBullet"/>
      </w:pPr>
      <w:r>
        <w:t>Object Storage (S3/MinIO) для артефактов, отчётов, датасетов, результатов прогонов.</w:t>
      </w:r>
    </w:p>
    <w:p>
      <w:pPr>
        <w:pStyle w:val="ListBullet"/>
      </w:pPr>
      <w:r>
        <w:t>Observability: логи/метрики/трейсы, резервное копирование и восстановление, CI/CD и миграции.</w:t>
      </w:r>
    </w:p>
    <w:p>
      <w:pPr>
        <w:pStyle w:val="Heading1"/>
      </w:pPr>
      <w:r>
        <w:rPr>
          <w:rFonts w:ascii="Calibri" w:hAnsi="Calibri" w:eastAsia="Calibri"/>
        </w:rPr>
        <w:t>4. Сквозные сценарии (целевые)</w:t>
      </w:r>
    </w:p>
    <w:p>
      <w:pPr>
        <w:pStyle w:val="ListNumber"/>
      </w:pPr>
      <w:r>
        <w:t>Событие (новый взрыв/обновление плана/изменение качества) поступает в INKA → обновляются материалы.</w:t>
      </w:r>
    </w:p>
    <w:p>
      <w:pPr>
        <w:pStyle w:val="ListNumber"/>
      </w:pPr>
      <w:r>
        <w:t>Online-двойник пересчитывает KPI и прогноз; при отклонении формирует рекомендации.</w:t>
      </w:r>
    </w:p>
    <w:p>
      <w:pPr>
        <w:pStyle w:val="ListNumber"/>
      </w:pPr>
      <w:r>
        <w:t>Инженер подтверждает/отклоняет рекомендацию; feedback используется для уточнения правил/параметров.</w:t>
      </w:r>
    </w:p>
    <w:p>
      <w:pPr>
        <w:pStyle w:val="ListNumber"/>
      </w:pPr>
      <w:r>
        <w:t>Compute-платформа обеспечивает пакетные прогоны и оптимизацию по критериям технологии и экономики.</w:t>
      </w:r>
    </w:p>
    <w:p>
      <w:pPr>
        <w:pStyle w:val="ListNumber"/>
      </w:pPr>
      <w:r>
        <w:t>Результаты публикуются в отчёты и/или внешние витрины/BI предприятия.</w:t>
      </w:r>
    </w:p>
    <w:p>
      <w:pPr>
        <w:pStyle w:val="Heading1"/>
      </w:pPr>
      <w:r>
        <w:rPr>
          <w:rFonts w:ascii="Calibri" w:hAnsi="Calibri" w:eastAsia="Calibri"/>
        </w:rPr>
        <w:t>5. Миграция от MVP к финальному видению</w:t>
      </w:r>
    </w:p>
    <w:p>
      <w:pPr>
        <w:pStyle w:val="ListBullet"/>
      </w:pPr>
      <w:r>
        <w:t>Шаг 1: стабилизация Core (MVP) — версии, материалы, solver, калибровка, сценарии, отчёты.</w:t>
      </w:r>
    </w:p>
    <w:p>
      <w:pPr>
        <w:pStyle w:val="ListBullet"/>
      </w:pPr>
      <w:r>
        <w:t>Шаг 2: внедрение INKA/DataHub — коннекторы, паспорт данных, витрины и события.</w:t>
      </w:r>
    </w:p>
    <w:p>
      <w:pPr>
        <w:pStyle w:val="ListBullet"/>
      </w:pPr>
      <w:r>
        <w:t>Шаг 3: compute-платформа — очереди задач, масштабирование, SLA.</w:t>
      </w:r>
    </w:p>
    <w:p>
      <w:pPr>
        <w:pStyle w:val="ListBullet"/>
      </w:pPr>
      <w:r>
        <w:t>Шаг 4: online-двойник и контур рекомендаций — streaming ingest, правила риска, feedback loop.</w:t>
      </w:r>
    </w:p>
    <w:p>
      <w:pPr>
        <w:pStyle w:val="ListBullet"/>
      </w:pPr>
      <w:r>
        <w:t>Шаг 5: экономический слой — оптимизация в деньгах, управленческие эффекты.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