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GrindLab</w:t>
      </w:r>
    </w:p>
    <w:p>
      <w:pPr>
        <w:jc w:val="center"/>
      </w:pPr>
      <w:r>
        <w:rPr>
          <w:b/>
          <w:sz w:val="36"/>
        </w:rPr>
        <w:t>Математическое ядро и аппарат</w:t>
      </w:r>
    </w:p>
    <w:p>
      <w:pPr>
        <w:jc w:val="center"/>
      </w:pPr>
      <w:r>
        <w:rPr>
          <w:sz w:val="24"/>
        </w:rPr>
        <w:t>Объекты, расчётный контур, калибровка и оптимизация (MVP и развитие)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Версия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</w:tcPr>
          <w:p>
            <w:r>
              <w:t>Дата</w:t>
            </w:r>
          </w:p>
        </w:tc>
        <w:tc>
          <w:tcPr>
            <w:tcW w:type="dxa" w:w="4986"/>
          </w:tcPr>
          <w:p>
            <w:r>
              <w:t>23.12.2025</w:t>
            </w:r>
          </w:p>
        </w:tc>
      </w:tr>
      <w:tr>
        <w:tc>
          <w:tcPr>
            <w:tcW w:type="dxa" w:w="4986"/>
          </w:tcPr>
          <w:p>
            <w:r>
              <w:t>Владелец продукта</w:t>
            </w:r>
          </w:p>
        </w:tc>
        <w:tc>
          <w:tcPr>
            <w:tcW w:type="dxa" w:w="4986"/>
          </w:tcPr>
          <w:p>
            <w:r>
              <w:t>Алексей</w:t>
            </w:r>
          </w:p>
        </w:tc>
      </w:tr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Документ для проектирования и передачи контекста команде разработки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1. Цель документа</w:t>
      </w:r>
    </w:p>
    <w:p>
      <w:r>
        <w:t>Зафиксировать математический аппарат GrindLab на уровне, достаточном для реализации MVP и последующего расширения. Документ описывает: (i) математические объекты и данные, (ii) расчётный контур flowsheet, (iii) калибровку и метрики доверия, (iv) оптимизацию и постановку задач, (v) требования к визуализации результатов.</w:t>
      </w:r>
    </w:p>
    <w:p>
      <w:pPr>
        <w:pStyle w:val="Heading1"/>
      </w:pPr>
      <w:r>
        <w:rPr>
          <w:rFonts w:ascii="Calibri" w:hAnsi="Calibri" w:eastAsia="Calibri"/>
        </w:rPr>
        <w:t>2. Границы и допущения</w:t>
      </w:r>
    </w:p>
    <w:p>
      <w:pPr>
        <w:pStyle w:val="ListBullet"/>
      </w:pPr>
      <w:r>
        <w:t>В основном треке MVP отсутствует интеграция с INKA/DataHub; источники данных — файлы, подключение к БД, ручной ввод (fallback).</w:t>
      </w:r>
    </w:p>
    <w:p>
      <w:pPr>
        <w:pStyle w:val="ListBullet"/>
      </w:pPr>
      <w:r>
        <w:t>Результаты моделирования взрыва (внешний продукт) рассматриваются как один из источников формирования «Материалов» (питания).</w:t>
      </w:r>
    </w:p>
    <w:p>
      <w:pPr>
        <w:pStyle w:val="ListBullet"/>
      </w:pPr>
      <w:r>
        <w:t>Модель ориентирована на цепочки дробление–измельчение–классификация (comminution); детализация нарастает от упрощённых моделей к расширенным.</w:t>
      </w:r>
    </w:p>
    <w:p>
      <w:pPr>
        <w:pStyle w:val="ListBullet"/>
      </w:pPr>
      <w:r>
        <w:t>Фокус MVP — корректность балансов, устойчивость сходимости, воспроизводимость расчётов, валидация и трассируемость версий.</w:t>
      </w:r>
    </w:p>
    <w:p>
      <w:pPr>
        <w:pStyle w:val="Heading1"/>
      </w:pPr>
      <w:r>
        <w:rPr>
          <w:rFonts w:ascii="Calibri" w:hAnsi="Calibri" w:eastAsia="Calibri"/>
        </w:rPr>
        <w:t>3. Ключевые математические сущности (объекты предметной области)</w:t>
      </w:r>
    </w:p>
    <w:p>
      <w:pPr>
        <w:pStyle w:val="Heading2"/>
      </w:pPr>
      <w:r>
        <w:rPr>
          <w:rFonts w:ascii="Calibri" w:hAnsi="Calibri" w:eastAsia="Calibri"/>
        </w:rPr>
        <w:t>3.1 Material (Материал/питание)</w:t>
      </w:r>
    </w:p>
    <w:p>
      <w:pPr>
        <w:pStyle w:val="ListBullet"/>
      </w:pPr>
      <w:r>
        <w:t>Назначение: единая форма представления входного питания схемы и результатов блендинга.</w:t>
      </w:r>
    </w:p>
    <w:p>
      <w:pPr>
        <w:pStyle w:val="ListBullet"/>
      </w:pPr>
      <w:r>
        <w:t>Состав: массовый расход (т/ч), содержание твёрдого, вода (при необходимости), грансостав (PSD), показатели качества (grade) и их распределения.</w:t>
      </w:r>
    </w:p>
    <w:p>
      <w:pPr>
        <w:pStyle w:val="ListBullet"/>
      </w:pPr>
      <w:r>
        <w:t>Атрибуты: источник (лаборатория/факт/модель взрыва), дата/период, версия, валидность, примечания.</w:t>
      </w:r>
    </w:p>
    <w:p>
      <w:pPr>
        <w:pStyle w:val="Heading2"/>
      </w:pPr>
      <w:r>
        <w:rPr>
          <w:rFonts w:ascii="Calibri" w:hAnsi="Calibri" w:eastAsia="Calibri"/>
        </w:rPr>
        <w:t>3.2 PSD (Particle Size Distribution)</w:t>
      </w:r>
    </w:p>
    <w:p>
      <w:r>
        <w:t>PSD представляется либо кумулятивной кривой (P-квантили), либо распределением по классам крупности (bins). Для MVP рекомендуется единый внутренний формат — bins, к которому приводятся все входы.</w:t>
      </w:r>
    </w:p>
    <w:p>
      <w:pPr>
        <w:pStyle w:val="ListBullet"/>
      </w:pPr>
      <w:r>
        <w:t>Операции PSD: нормировка, ребининг (приведение к единой сетке), расчёт Pxx (например, P80/P50/P240), блендинг по массе.</w:t>
      </w:r>
    </w:p>
    <w:p>
      <w:pPr>
        <w:pStyle w:val="ListBullet"/>
      </w:pPr>
      <w:r>
        <w:t>Диапазон классов: предусмотреть сетку, покрывающую до P240 (по требованию), и возможность расширения.</w:t>
      </w:r>
    </w:p>
    <w:p>
      <w:pPr>
        <w:pStyle w:val="Heading2"/>
      </w:pPr>
      <w:r>
        <w:rPr>
          <w:rFonts w:ascii="Calibri" w:hAnsi="Calibri" w:eastAsia="Calibri"/>
        </w:rPr>
        <w:t>3.3 Stream (Поток)</w:t>
      </w:r>
    </w:p>
    <w:p>
      <w:pPr>
        <w:pStyle w:val="ListBullet"/>
      </w:pPr>
      <w:r>
        <w:t>Поток связывает узлы flowsheet и хранит текущее состояние: масса твёрдого, вода, PSD, качество (mean и/или распределение).</w:t>
      </w:r>
    </w:p>
    <w:p>
      <w:pPr>
        <w:pStyle w:val="ListBullet"/>
      </w:pPr>
      <w:r>
        <w:t>Поток является основным носителем состояния в расчётном контуре.</w:t>
      </w:r>
    </w:p>
    <w:p>
      <w:pPr>
        <w:pStyle w:val="Heading2"/>
      </w:pPr>
      <w:r>
        <w:rPr>
          <w:rFonts w:ascii="Calibri" w:hAnsi="Calibri" w:eastAsia="Calibri"/>
        </w:rPr>
        <w:t>3.4 Unit (Узел/агрегат) и UnitModel</w:t>
      </w:r>
    </w:p>
    <w:p>
      <w:pPr>
        <w:pStyle w:val="ListBullet"/>
      </w:pPr>
      <w:r>
        <w:t>Узел — технологическая единица (дробилка, мельница SAG, шаровая мельница, грохот, гидроциклон и т.п.).</w:t>
      </w:r>
    </w:p>
    <w:p>
      <w:pPr>
        <w:pStyle w:val="ListBullet"/>
      </w:pPr>
      <w:r>
        <w:t>UnitModel — вычислительная модель узла, которая преобразует входной Stream в выходные Stream(ы).</w:t>
      </w:r>
    </w:p>
    <w:p>
      <w:pPr>
        <w:pStyle w:val="ListBullet"/>
      </w:pPr>
      <w:r>
        <w:t>В MVP важно обеспечить единый интерфейс модели узла: вход(ы) → выход(ы) + локальные KPI.</w:t>
      </w:r>
    </w:p>
    <w:p>
      <w:pPr>
        <w:pStyle w:val="Heading2"/>
      </w:pPr>
      <w:r>
        <w:rPr>
          <w:rFonts w:ascii="Calibri" w:hAnsi="Calibri" w:eastAsia="Calibri"/>
        </w:rPr>
        <w:t>3.5 FlowsheetGraph (Схема)</w:t>
      </w:r>
    </w:p>
    <w:p>
      <w:pPr>
        <w:pStyle w:val="ListBullet"/>
      </w:pPr>
      <w:r>
        <w:t>Схема — ориентированный граф узлов и потоков, поддерживающий рециркуляции.</w:t>
      </w:r>
    </w:p>
    <w:p>
      <w:pPr>
        <w:pStyle w:val="ListBullet"/>
      </w:pPr>
      <w:r>
        <w:t>Для расчёта требуется менеджер сходимости (итерации по циклам) и критерии остановки.</w:t>
      </w:r>
    </w:p>
    <w:p>
      <w:pPr>
        <w:pStyle w:val="Heading1"/>
      </w:pPr>
      <w:r>
        <w:rPr>
          <w:rFonts w:ascii="Calibri" w:hAnsi="Calibri" w:eastAsia="Calibri"/>
        </w:rPr>
        <w:t>4. Расчётный контур flowsheet</w:t>
      </w:r>
    </w:p>
    <w:p>
      <w:pPr>
        <w:pStyle w:val="Heading2"/>
      </w:pPr>
      <w:r>
        <w:rPr>
          <w:rFonts w:ascii="Calibri" w:hAnsi="Calibri" w:eastAsia="Calibri"/>
        </w:rPr>
        <w:t>4.1 Балансы</w:t>
      </w:r>
    </w:p>
    <w:p>
      <w:r>
        <w:t>В основе расчёта лежат массовые балансы по твёрдому и воде. Для каждого узла выполняется баланс входов/выходов с учётом разделения/возвратов.</w:t>
      </w:r>
    </w:p>
    <w:p>
      <w:pPr>
        <w:pStyle w:val="ListBullet"/>
      </w:pPr>
      <w:r>
        <w:t>Массовый баланс твёрдого: сумма входных расходов = сумма выходных (с допуском численной погрешности).</w:t>
      </w:r>
    </w:p>
    <w:p>
      <w:pPr>
        <w:pStyle w:val="ListBullet"/>
      </w:pPr>
      <w:r>
        <w:t>Водный баланс (если моделируется): аналогично по воде/пульпе.</w:t>
      </w:r>
    </w:p>
    <w:p>
      <w:pPr>
        <w:pStyle w:val="ListBullet"/>
      </w:pPr>
      <w:r>
        <w:t>Проверки: отрицательные расходы не допускаются; сумма долей PSD = 1.</w:t>
      </w:r>
    </w:p>
    <w:p>
      <w:pPr>
        <w:pStyle w:val="Heading2"/>
      </w:pPr>
      <w:r>
        <w:rPr>
          <w:rFonts w:ascii="Calibri" w:hAnsi="Calibri" w:eastAsia="Calibri"/>
        </w:rPr>
        <w:t>4.2 Итерации и сходимость</w:t>
      </w:r>
    </w:p>
    <w:p>
      <w:pPr>
        <w:pStyle w:val="ListBullet"/>
      </w:pPr>
      <w:r>
        <w:t>Рециркуляции требуют итерационного решения: начальное предположение по возвратам → прогон схемы → обновление возвратов.</w:t>
      </w:r>
    </w:p>
    <w:p>
      <w:pPr>
        <w:pStyle w:val="ListBullet"/>
      </w:pPr>
      <w:r>
        <w:t>Критерий остановки: изменение ключевых потоков/PSDs/KPI между итерациями ниже заданного порога.</w:t>
      </w:r>
    </w:p>
    <w:p>
      <w:pPr>
        <w:pStyle w:val="ListBullet"/>
      </w:pPr>
      <w:r>
        <w:t>Ограничения: максимум итераций, защита от расходимости, логирование причин остановки.</w:t>
      </w:r>
    </w:p>
    <w:p>
      <w:pPr>
        <w:pStyle w:val="Heading2"/>
      </w:pPr>
      <w:r>
        <w:rPr>
          <w:rFonts w:ascii="Calibri" w:hAnsi="Calibri" w:eastAsia="Calibri"/>
        </w:rPr>
        <w:t>4.3 Выходные KPI</w:t>
      </w:r>
    </w:p>
    <w:p>
      <w:pPr>
        <w:pStyle w:val="ListBullet"/>
      </w:pPr>
      <w:r>
        <w:t>Throughput (т/ч), специфическая энергия (кВт·ч/т), P80/P50/P240 по ключевым потокам, циркулирующая нагрузка.</w:t>
      </w:r>
    </w:p>
    <w:p>
      <w:pPr>
        <w:pStyle w:val="ListBullet"/>
      </w:pPr>
      <w:r>
        <w:t>Технологические ограничения: мощность, загрузка, давление/расходы (для классификации), качество продукта (при наличии).</w:t>
      </w:r>
    </w:p>
    <w:p>
      <w:pPr>
        <w:pStyle w:val="Heading1"/>
      </w:pPr>
      <w:r>
        <w:rPr>
          <w:rFonts w:ascii="Calibri" w:hAnsi="Calibri" w:eastAsia="Calibri"/>
        </w:rPr>
        <w:t>5. Математика «Материалов» и интеграции с моделированием взрыва</w:t>
      </w:r>
    </w:p>
    <w:p>
      <w:pPr>
        <w:pStyle w:val="Heading2"/>
      </w:pPr>
      <w:r>
        <w:rPr>
          <w:rFonts w:ascii="Calibri" w:hAnsi="Calibri" w:eastAsia="Calibri"/>
        </w:rPr>
        <w:t>5.1 Контракт данных Blast → Material</w:t>
      </w:r>
    </w:p>
    <w:p>
      <w:pPr>
        <w:pStyle w:val="ListBullet"/>
      </w:pPr>
      <w:r>
        <w:t>Идентификаторы: blast_id, block_id, горизонт/уступ, дата расчёта/взрыва, версия исходных данных.</w:t>
      </w:r>
    </w:p>
    <w:p>
      <w:pPr>
        <w:pStyle w:val="ListBullet"/>
      </w:pPr>
      <w:r>
        <w:t>PSD: либо кривая P-квантилей, либо bins; обязательны единицы и описание сетки крупности.</w:t>
      </w:r>
    </w:p>
    <w:p>
      <w:pPr>
        <w:pStyle w:val="ListBullet"/>
      </w:pPr>
      <w:r>
        <w:t>Качество: среднее содержание по элементам и (желательно) распределение качества (гистограмма или параметры).</w:t>
      </w:r>
    </w:p>
    <w:p>
      <w:pPr>
        <w:pStyle w:val="Heading2"/>
      </w:pPr>
      <w:r>
        <w:rPr>
          <w:rFonts w:ascii="Calibri" w:hAnsi="Calibri" w:eastAsia="Calibri"/>
        </w:rPr>
        <w:t>5.2 Блендинг материалов</w:t>
      </w:r>
    </w:p>
    <w:p>
      <w:r>
        <w:t>Блендинг выполняется по массовым долям. Для PSD в bins: результирующая доля класса = сумма(доля_класса_i * масса_i) / сумма(масса_i). Для quality (mean): аналогично по массе (или по металлу — если вводится соответствующая модель).</w:t>
      </w:r>
    </w:p>
    <w:p>
      <w:pPr>
        <w:pStyle w:val="Heading1"/>
      </w:pPr>
      <w:r>
        <w:rPr>
          <w:rFonts w:ascii="Calibri" w:hAnsi="Calibri" w:eastAsia="Calibri"/>
        </w:rPr>
        <w:t>6. Калибровка и верификация</w:t>
      </w:r>
    </w:p>
    <w:p>
      <w:pPr>
        <w:pStyle w:val="Heading2"/>
      </w:pPr>
      <w:r>
        <w:rPr>
          <w:rFonts w:ascii="Calibri" w:hAnsi="Calibri" w:eastAsia="Calibri"/>
        </w:rPr>
        <w:t>6.1 Задача калибровки</w:t>
      </w:r>
    </w:p>
    <w:p>
      <w:r>
        <w:t>Калибровка — подбор параметров UnitModel и/или схемы для минимизации расхождения между расчётом и фактом на исторических данных.</w:t>
      </w:r>
    </w:p>
    <w:p>
      <w:pPr>
        <w:pStyle w:val="ListBullet"/>
      </w:pPr>
      <w:r>
        <w:t>Целевая функция (loss): взвешенная сумма ошибок по KPI (например, throughput, P80, kWh/t).</w:t>
      </w:r>
    </w:p>
    <w:p>
      <w:pPr>
        <w:pStyle w:val="ListBullet"/>
      </w:pPr>
      <w:r>
        <w:t>Нормировка: ошибки приводятся к сопоставимым масштабам (проценты, z-score, диапазон).</w:t>
      </w:r>
    </w:p>
    <w:p>
      <w:pPr>
        <w:pStyle w:val="ListBullet"/>
      </w:pPr>
      <w:r>
        <w:t>Ограничения: параметры имеют допустимые диапазоны; фиксируются неидентифицируемые параметры.</w:t>
      </w:r>
    </w:p>
    <w:p>
      <w:pPr>
        <w:pStyle w:val="Heading2"/>
      </w:pPr>
      <w:r>
        <w:rPr>
          <w:rFonts w:ascii="Calibri" w:hAnsi="Calibri" w:eastAsia="Calibri"/>
        </w:rPr>
        <w:t>6.2 Метрики качества модели</w:t>
      </w:r>
    </w:p>
    <w:p>
      <w:pPr>
        <w:pStyle w:val="ListBullet"/>
      </w:pPr>
      <w:r>
        <w:t>MAE/RMSE/MAPE по KPI, bias (смещение), устойчивость метрик по подвыборкам.</w:t>
      </w:r>
    </w:p>
    <w:p>
      <w:pPr>
        <w:pStyle w:val="ListBullet"/>
      </w:pPr>
      <w:r>
        <w:t>Сегментация: оценка по типам материалов/руд и по режимам работы.</w:t>
      </w:r>
    </w:p>
    <w:p>
      <w:pPr>
        <w:pStyle w:val="ListBullet"/>
      </w:pPr>
      <w:r>
        <w:t>Паспорт модели: версия, датасет, метрики, область применимости, комментарии.</w:t>
      </w:r>
    </w:p>
    <w:p>
      <w:pPr>
        <w:pStyle w:val="Heading1"/>
      </w:pPr>
      <w:r>
        <w:rPr>
          <w:rFonts w:ascii="Calibri" w:hAnsi="Calibri" w:eastAsia="Calibri"/>
        </w:rPr>
        <w:t>7. Сценарное моделирование и оптимизация</w:t>
      </w:r>
    </w:p>
    <w:p>
      <w:pPr>
        <w:pStyle w:val="Heading2"/>
      </w:pPr>
      <w:r>
        <w:rPr>
          <w:rFonts w:ascii="Calibri" w:hAnsi="Calibri" w:eastAsia="Calibri"/>
        </w:rPr>
        <w:t>7.1 What-if</w:t>
      </w:r>
    </w:p>
    <w:p>
      <w:pPr>
        <w:pStyle w:val="ListBullet"/>
      </w:pPr>
      <w:r>
        <w:t>Смена материала (в т.ч. из Blast-модели), блендинг, изменение уставок/ограничений.</w:t>
      </w:r>
    </w:p>
    <w:p>
      <w:pPr>
        <w:pStyle w:val="ListBullet"/>
      </w:pPr>
      <w:r>
        <w:t>Сравнение сценариев по KPI и проверка ограничений.</w:t>
      </w:r>
    </w:p>
    <w:p>
      <w:pPr>
        <w:pStyle w:val="Heading2"/>
      </w:pPr>
      <w:r>
        <w:rPr>
          <w:rFonts w:ascii="Calibri" w:hAnsi="Calibri" w:eastAsia="Calibri"/>
        </w:rPr>
        <w:t>7.2 Оптимизация</w:t>
      </w:r>
    </w:p>
    <w:p>
      <w:pPr>
        <w:pStyle w:val="ListBullet"/>
      </w:pPr>
      <w:r>
        <w:t>Постановка: max throughput / min kWh/t / выполнение целевого P80; ограничения по уставкам и состояниям.</w:t>
      </w:r>
    </w:p>
    <w:p>
      <w:pPr>
        <w:pStyle w:val="ListBullet"/>
      </w:pPr>
      <w:r>
        <w:t>Результат: набор допустимых решений и фронт Парето (многокритериальные компромиссы).</w:t>
      </w:r>
    </w:p>
    <w:p>
      <w:pPr>
        <w:pStyle w:val="ListBullet"/>
      </w:pPr>
      <w:r>
        <w:t>Для MVP допустимы простые методы (grid/эвристики) при условии воспроизводимости и контролируемого времени расчёта.</w:t>
      </w:r>
    </w:p>
    <w:p>
      <w:pPr>
        <w:pStyle w:val="Heading1"/>
      </w:pPr>
      <w:r>
        <w:rPr>
          <w:rFonts w:ascii="Calibri" w:hAnsi="Calibri" w:eastAsia="Calibri"/>
        </w:rPr>
        <w:t>8. Требования к визуализации (как часть математики доверия)</w:t>
      </w:r>
    </w:p>
    <w:p>
      <w:pPr>
        <w:pStyle w:val="ListBullet"/>
      </w:pPr>
      <w:r>
        <w:t>Факт vs модель: scatter (y=x), тренды KPI, распределения ошибок.</w:t>
      </w:r>
    </w:p>
    <w:p>
      <w:pPr>
        <w:pStyle w:val="ListBullet"/>
      </w:pPr>
      <w:r>
        <w:t>PSD: кривые/гистограммы классов, сравнение материалов и сценариев, отображение P80/P50/P240.</w:t>
      </w:r>
    </w:p>
    <w:p>
      <w:pPr>
        <w:pStyle w:val="ListBullet"/>
      </w:pPr>
      <w:r>
        <w:t>Оптимизация: Парето (2D scatter), графики ограничений (в упоре/не в упоре).</w:t>
      </w:r>
    </w:p>
    <w:p>
      <w:pPr>
        <w:pStyle w:val="ListBullet"/>
      </w:pPr>
      <w:r>
        <w:t>Экспорт: PNG/PDF/Excel; привязка к версии модели/материала/сценария (трассируемость).</w:t>
      </w:r>
    </w:p>
    <w:p>
      <w:pPr>
        <w:pStyle w:val="Heading1"/>
      </w:pPr>
      <w:r>
        <w:rPr>
          <w:rFonts w:ascii="Calibri" w:hAnsi="Calibri" w:eastAsia="Calibri"/>
        </w:rPr>
        <w:t>9. MVP математики: минимальный обязательный набор</w:t>
      </w:r>
    </w:p>
    <w:p>
      <w:pPr>
        <w:pStyle w:val="ListNumber"/>
      </w:pPr>
      <w:r>
        <w:t>Единый внутренний формат PSD (bins) + операции ребининга и расчёта Pxx (включая P240).</w:t>
      </w:r>
    </w:p>
    <w:p>
      <w:pPr>
        <w:pStyle w:val="ListNumber"/>
      </w:pPr>
      <w:r>
        <w:t>Массовые балансы + итерационная сходимость для схем с рециркуляциями.</w:t>
      </w:r>
    </w:p>
    <w:p>
      <w:pPr>
        <w:pStyle w:val="ListNumber"/>
      </w:pPr>
      <w:r>
        <w:t>Набор базовых UnitModel (минимум по типовой цепочке) с единым интерфейсом.</w:t>
      </w:r>
    </w:p>
    <w:p>
      <w:pPr>
        <w:pStyle w:val="ListNumber"/>
      </w:pPr>
      <w:r>
        <w:t>Калибровка с простой целевой функцией и метриками качества.</w:t>
      </w:r>
    </w:p>
    <w:p>
      <w:pPr>
        <w:pStyle w:val="ListNumber"/>
      </w:pPr>
      <w:r>
        <w:t>What-if на смене материалов и уставок + сравнение KPI.</w:t>
      </w:r>
    </w:p>
    <w:p>
      <w:pPr>
        <w:pStyle w:val="ListNumber"/>
      </w:pPr>
      <w:r>
        <w:t>Парето для двух критериев (в рамках оптимизации MVP).</w:t>
      </w:r>
    </w:p>
    <w:p>
      <w:pPr>
        <w:pStyle w:val="Heading1"/>
      </w:pPr>
      <w:r>
        <w:rPr>
          <w:rFonts w:ascii="Calibri" w:hAnsi="Calibri" w:eastAsia="Calibri"/>
        </w:rPr>
        <w:t>10. Развитие (после MVP)</w:t>
      </w:r>
    </w:p>
    <w:p>
      <w:pPr>
        <w:pStyle w:val="ListBullet"/>
      </w:pPr>
      <w:r>
        <w:t>Расширение классов моделей узлов и физической детализации (параметры классификации, дополнительные KPI).</w:t>
      </w:r>
    </w:p>
    <w:p>
      <w:pPr>
        <w:pStyle w:val="ListBullet"/>
      </w:pPr>
      <w:r>
        <w:t>Online-контур (цифровой двойник): периодический пересчёт, адаптация параметров, контур рекомендаций.</w:t>
      </w:r>
    </w:p>
    <w:p>
      <w:pPr>
        <w:pStyle w:val="ListBullet"/>
      </w:pPr>
      <w:r>
        <w:t>Экономический слой: перевод технологических KPI в себестоимость/EBITDA для оптимизации «в деньгах».</w:t>
      </w:r>
    </w:p>
    <w:p>
      <w:pPr>
        <w:pStyle w:val="ListBullet"/>
      </w:pPr>
      <w:r>
        <w:t>Интеграция с INKA/DataHub и промышленными контурами (MES/SCADA/LIMS) как отдельная дорожная карта.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