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D63"/>
          <w:sz w:val="52"/>
        </w:rPr>
        <w:t>BROKO</w:t>
      </w:r>
    </w:p>
    <w:p>
      <w:pPr>
        <w:jc w:val="center"/>
      </w:pPr>
      <w:r>
        <w:rPr>
          <w:b/>
          <w:sz w:val="34"/>
        </w:rPr>
        <w:t>02 — Transaction Workflows &amp; Decision Trees</w:t>
      </w:r>
    </w:p>
    <w:p>
      <w:pPr>
        <w:jc w:val="center"/>
      </w:pPr>
      <w:r>
        <w:t>Role-by-role workflow catalogue and real-life exception handling</w:t>
      </w:r>
    </w:p>
    <w:p>
      <w:r>
        <w:t>Final requirements baseline for design | 20 October 2026 | Ontario residential only | Not a certification of legal compliance</w:t>
      </w:r>
    </w:p>
    <w:p>
      <w:pPr>
        <w:pStyle w:val="Heading1"/>
      </w:pPr>
      <w:r>
        <w:t>1. Unified event-driven architecture</w:t>
      </w:r>
    </w:p>
    <w:p>
      <w:pPr>
        <w:pStyle w:val="ListBullet"/>
      </w:pPr>
      <w:r>
        <w:t>Transaction = brokerage-side workspace and permissions; Deal = linked offer/accepted agreement; Offer = independently versioned submission; Condition = independently clocked contractual obligation; Document = immutable signed revision chain.</w:t>
      </w:r>
    </w:p>
    <w:p>
      <w:pPr>
        <w:pStyle w:val="ListBullet"/>
      </w:pPr>
      <w:r>
        <w:t>Navigation: common scenarios show Guided journey. Exception/specialty actions are Freeflow; both resolve eligibility through shared dependency rules.</w:t>
      </w:r>
    </w:p>
    <w:p>
      <w:pPr>
        <w:pStyle w:val="ListBullet"/>
      </w:pPr>
      <w:r>
        <w:t>Start positions: initial client, listing, draft offer, accepted agreement or imported historical file. Import reconstructs *provisional* events until verified.</w:t>
      </w:r>
    </w:p>
    <w:p>
      <w:pPr>
        <w:pStyle w:val="ListBullet"/>
      </w:pPr>
      <w:r>
        <w:t>Enforce confidential role/party separation even when one brokerage represents both sides; multiple representation/disclosure and consent are evaluated based on model and facts.</w:t>
      </w:r>
    </w:p>
    <w:p>
      <w:pPr>
        <w:pStyle w:val="Heading1"/>
      </w:pPr>
      <w:r>
        <w:t>2. Primary workflow families</w:t>
      </w:r>
    </w:p>
    <w:p>
      <w:pPr>
        <w:pStyle w:val="Heading2"/>
      </w:pPr>
      <w:r>
        <w:t>Purchase resale</w:t>
      </w:r>
    </w:p>
    <w:p>
      <w:r>
        <w:t>onboard → representation → property due diligence → prepare APS/schedules → validate/sign/present → counter/accept → conditions → firm → deposit/closing → record completion → TCS handoff → retain</w:t>
      </w:r>
    </w:p>
    <w:p>
      <w:pPr>
        <w:pStyle w:val="Heading2"/>
      </w:pPr>
      <w:r>
        <w:t>Sale listing</w:t>
      </w:r>
    </w:p>
    <w:p>
      <w:r>
        <w:t>onboard seller → listing representation &amp; listing disclosures → prepare listing records/schedules → list and manage showings/offers → register/present multiple offers → counters/acceptance → conditions → firm → deposit/closing → TCS handoff → retain</w:t>
      </w:r>
    </w:p>
    <w:p>
      <w:pPr>
        <w:pStyle w:val="Heading2"/>
      </w:pPr>
      <w:r>
        <w:t>Residential landlord</w:t>
      </w:r>
    </w:p>
    <w:p>
      <w:r>
        <w:t>onboard landlord → listing representation → rental listing → applications/screening under privacy and human decision → negotiate/offer-to-lease → applicable standard lease → deposits/keys/occupancy handover → archive/handoff</w:t>
      </w:r>
    </w:p>
    <w:p>
      <w:pPr>
        <w:pStyle w:val="Heading2"/>
      </w:pPr>
      <w:r>
        <w:t>Residential tenant</w:t>
      </w:r>
    </w:p>
    <w:p>
      <w:r>
        <w:t>onboard tenant → representation → search/rental application → permitted screening docs → offer-to-lease → negotiate/sign → applicable standard lease → deposits/keys/move-in → archive/handoff</w:t>
      </w:r>
    </w:p>
    <w:p>
      <w:pPr>
        <w:pStyle w:val="Heading2"/>
      </w:pPr>
      <w:r>
        <w:t>Builder / assignment / bank-owned</w:t>
      </w:r>
    </w:p>
    <w:p>
      <w:r>
        <w:t>classify specialty transaction → request supplied agreement/schedules → compare statutory/brokerage rules → human review → signing and milestone/deposit tracking → change/closing/termination → audit and handoff</w:t>
      </w:r>
    </w:p>
    <w:p>
      <w:pPr>
        <w:pStyle w:val="Heading1"/>
      </w:pPr>
      <w:r>
        <w:t>3. Full transaction cases</w:t>
      </w:r>
    </w:p>
    <w:p>
      <w:pPr>
        <w:pStyle w:val="Heading2"/>
      </w:pPr>
      <w:r>
        <w:t>Buyer</w:t>
      </w:r>
    </w:p>
    <w:p>
      <w:pPr>
        <w:pStyle w:val="Heading3"/>
      </w:pPr>
      <w:r>
        <w:t>B01 · Freehold resale</w:t>
      </w:r>
    </w:p>
    <w:p>
      <w:r>
        <w:t>Onboard buyer → determine property/representation/due diligence → make offer or import agreement → clause and form package → signatures/presentation → negotiate → acceptance/conditions → firm → deposit/closing → validated handoff.</w:t>
      </w:r>
    </w:p>
    <w:p>
      <w:r>
        <w:t>Variation trigger: configure role-, property- and agreement-specific field/form prerequisites. Failed, expired, withdrawn, disputed and amended paths preserve the historical file.</w:t>
      </w:r>
    </w:p>
    <w:p>
      <w:pPr>
        <w:pStyle w:val="Heading3"/>
      </w:pPr>
      <w:r>
        <w:t>B02 · Condominium resale</w:t>
      </w:r>
    </w:p>
    <w:p>
      <w:r>
        <w:t>Onboard buyer → determine property/representation/due diligence → make offer or import agreement → clause and form package → signatures/presentation → negotiate → acceptance/conditions → firm → deposit/closing → validated handoff.</w:t>
      </w:r>
    </w:p>
    <w:p>
      <w:r>
        <w:t>Variation trigger: configure role-, property- and agreement-specific field/form prerequisites. Failed, expired, withdrawn, disputed and amended paths preserve the historical file.</w:t>
      </w:r>
    </w:p>
    <w:p>
      <w:pPr>
        <w:pStyle w:val="Heading3"/>
      </w:pPr>
      <w:r>
        <w:t>B03 · POTL/common-element condo</w:t>
      </w:r>
    </w:p>
    <w:p>
      <w:r>
        <w:t>Onboard buyer → determine property/representation/due diligence → make offer or import agreement → clause and form package → signatures/presentation → negotiate → acceptance/conditions → firm → deposit/closing → validated handoff.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3"/>
      </w:pPr>
      <w:r>
        <w:t>B04 · Builder/new construction</w:t>
      </w:r>
    </w:p>
    <w:p>
      <w:r>
        <w:t>Onboard buyer → determine property/representation/due diligence → make offer or import agreement → clause and form package → signatures/presentation → negotiate → acceptance/conditions → firm → deposit/closing → validated handoff.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3"/>
      </w:pPr>
      <w:r>
        <w:t>B05 · Assignment / power of sale / bank-owned</w:t>
      </w:r>
    </w:p>
    <w:p>
      <w:r>
        <w:t>Onboard buyer → determine property/representation/due diligence → make offer or import agreement → clause and form package → signatures/presentation → negotiate → acceptance/conditions → firm → deposit/closing → validated handoff.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3"/>
      </w:pPr>
      <w:r>
        <w:t>B06 · Vacant land / rural / farm residential</w:t>
      </w:r>
    </w:p>
    <w:p>
      <w:r>
        <w:t>Onboard buyer → determine property/representation/due diligence → make offer or import agreement → clause and form package → signatures/presentation → negotiate → acceptance/conditions → firm → deposit/closing → validated handoff.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3"/>
      </w:pPr>
      <w:r>
        <w:t>B07 · Investment / tenanted residential</w:t>
      </w:r>
    </w:p>
    <w:p>
      <w:r>
        <w:t>Onboard buyer → determine property/representation/due diligence → make offer or import agreement → clause and form package → signatures/presentation → negotiate → acceptance/conditions → firm → deposit/closing → validated handoff.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2"/>
      </w:pPr>
      <w:r>
        <w:t>Seller</w:t>
      </w:r>
    </w:p>
    <w:p>
      <w:pPr>
        <w:pStyle w:val="Heading3"/>
      </w:pPr>
      <w:r>
        <w:t>S01 · Freehold resale listing/sale</w:t>
      </w:r>
    </w:p>
    <w:p>
      <w:r>
        <w:t>Onboard seller/listing → listing agreement and data/schedules → publish/track listing and inquiries → register competing offers → present/counter/accept → conditions → sold/firm → deposit/closing → validated handoff.</w:t>
      </w:r>
    </w:p>
    <w:p>
      <w:r>
        <w:t>Variation trigger: configure role-, property- and agreement-specific field/form prerequisites. Failed, expired, withdrawn, disputed and amended paths preserve the historical file.</w:t>
      </w:r>
    </w:p>
    <w:p>
      <w:pPr>
        <w:pStyle w:val="Heading3"/>
      </w:pPr>
      <w:r>
        <w:t>S02 · Condominium resale listing/sale</w:t>
      </w:r>
    </w:p>
    <w:p>
      <w:r>
        <w:t>Onboard seller/listing → listing agreement and data/schedules → publish/track listing and inquiries → register competing offers → present/counter/accept → conditions → sold/firm → deposit/closing → validated handoff.</w:t>
      </w:r>
    </w:p>
    <w:p>
      <w:r>
        <w:t>Variation trigger: configure role-, property- and agreement-specific field/form prerequisites. Failed, expired, withdrawn, disputed and amended paths preserve the historical file.</w:t>
      </w:r>
    </w:p>
    <w:p>
      <w:pPr>
        <w:pStyle w:val="Heading3"/>
      </w:pPr>
      <w:r>
        <w:t>S03 · POTL/common-element condo</w:t>
      </w:r>
    </w:p>
    <w:p>
      <w:r>
        <w:t>Onboard seller/listing → listing agreement and data/schedules → publish/track listing and inquiries → register competing offers → present/counter/accept → conditions → sold/firm → deposit/closing → validated handoff.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3"/>
      </w:pPr>
      <w:r>
        <w:t>S04 · Assignment / bank-owned / power of sale</w:t>
      </w:r>
    </w:p>
    <w:p>
      <w:r>
        <w:t>Onboard seller/listing → listing agreement and data/schedules → publish/track listing and inquiries → register competing offers → present/counter/accept → conditions → sold/firm → deposit/closing → validated handoff.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3"/>
      </w:pPr>
      <w:r>
        <w:t>S05 · Vacant land/rural/farm residential</w:t>
      </w:r>
    </w:p>
    <w:p>
      <w:r>
        <w:t>Onboard seller/listing → listing agreement and data/schedules → publish/track listing and inquiries → register competing offers → present/counter/accept → conditions → sold/firm → deposit/closing → validated handoff.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3"/>
      </w:pPr>
      <w:r>
        <w:t>S06 · Investment / occupied residential</w:t>
      </w:r>
    </w:p>
    <w:p>
      <w:r>
        <w:t>Onboard seller/listing → listing agreement and data/schedules → publish/track listing and inquiries → register competing offers → present/counter/accept → conditions → sold/firm → deposit/closing → validated handoff.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2"/>
      </w:pPr>
      <w:r>
        <w:t>Landlord</w:t>
      </w:r>
    </w:p>
    <w:p>
      <w:pPr>
        <w:pStyle w:val="Heading3"/>
      </w:pPr>
      <w:r>
        <w:t>L01 · Condo rental</w:t>
      </w:r>
    </w:p>
    <w:p>
      <w:r>
        <w:t>Onboard landlord → listing/property facts → receive applications with consent and privacy limits → human screening/selection → negotiate offer to lease → applicable standard lease → collect permitted deposits/evidence → occupancy handover → closeout.</w:t>
      </w:r>
    </w:p>
    <w:p>
      <w:r>
        <w:t>Variation trigger: configure role-, property- and agreement-specific field/form prerequisites. Failed, expired, withdrawn, disputed and amended paths preserve the historical file.</w:t>
      </w:r>
    </w:p>
    <w:p>
      <w:pPr>
        <w:pStyle w:val="Heading3"/>
      </w:pPr>
      <w:r>
        <w:t>L02 · Freehold house rental</w:t>
      </w:r>
    </w:p>
    <w:p>
      <w:r>
        <w:t>Onboard landlord → listing/property facts → receive applications with consent and privacy limits → human screening/selection → negotiate offer to lease → applicable standard lease → collect permitted deposits/evidence → occupancy handover → closeout.</w:t>
      </w:r>
    </w:p>
    <w:p>
      <w:r>
        <w:t>Variation trigger: configure role-, property- and agreement-specific field/form prerequisites. Failed, expired, withdrawn, disputed and amended paths preserve the historical file.</w:t>
      </w:r>
    </w:p>
    <w:p>
      <w:pPr>
        <w:pStyle w:val="Heading3"/>
      </w:pPr>
      <w:r>
        <w:t>L03 · Townhouse / residential multi-unit</w:t>
      </w:r>
    </w:p>
    <w:p>
      <w:r>
        <w:t>Onboard landlord → listing/property facts → receive applications with consent and privacy limits → human screening/selection → negotiate offer to lease → applicable standard lease → collect permitted deposits/evidence → occupancy handover → closeout.</w:t>
      </w:r>
    </w:p>
    <w:p>
      <w:r>
        <w:t>Variation trigger: configure role-, property- and agreement-specific field/form prerequisites. Failed, expired, withdrawn, disputed and amended paths preserve the historical file.</w:t>
      </w:r>
    </w:p>
    <w:p>
      <w:pPr>
        <w:pStyle w:val="Heading3"/>
      </w:pPr>
      <w:r>
        <w:t>L04 · Secondary suite / basement apartment</w:t>
      </w:r>
    </w:p>
    <w:p>
      <w:r>
        <w:t>Onboard landlord → listing/property facts → receive applications with consent and privacy limits → human screening/selection → negotiate offer to lease → applicable standard lease → collect permitted deposits/evidence → occupancy handover → closeout.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3"/>
      </w:pPr>
      <w:r>
        <w:t>L05 · Student / room rental</w:t>
      </w:r>
    </w:p>
    <w:p>
      <w:r>
        <w:t>Onboard landlord → listing/property facts → receive applications with consent and privacy limits → human screening/selection → negotiate offer to lease → applicable standard lease → collect permitted deposits/evidence → occupancy handover → closeout.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3"/>
      </w:pPr>
      <w:r>
        <w:t>L06 · Lease renewal/extension/replacement</w:t>
      </w:r>
    </w:p>
    <w:p>
      <w:r>
        <w:t>Onboard landlord → listing/property facts → receive applications with consent and privacy limits → human screening/selection → negotiate offer to lease → applicable standard lease → collect permitted deposits/evidence → occupancy handover → closeout.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2"/>
      </w:pPr>
      <w:r>
        <w:t>Tenant</w:t>
      </w:r>
    </w:p>
    <w:p>
      <w:pPr>
        <w:pStyle w:val="Heading3"/>
      </w:pPr>
      <w:r>
        <w:t>T01 · Condo rental</w:t>
      </w:r>
    </w:p>
    <w:p>
      <w:r>
        <w:t>Onboard tenant → representation and rental search → application/document requests → offer to lease and counters → applicable standard lease → deposits/keys/move in → closeout.</w:t>
      </w:r>
    </w:p>
    <w:p>
      <w:r>
        <w:t>Variation trigger: configure role-, property- and agreement-specific field/form prerequisites. Failed, expired, withdrawn, disputed and amended paths preserve the historical file.</w:t>
      </w:r>
    </w:p>
    <w:p>
      <w:pPr>
        <w:pStyle w:val="Heading3"/>
      </w:pPr>
      <w:r>
        <w:t>T02 · House rental</w:t>
      </w:r>
    </w:p>
    <w:p>
      <w:r>
        <w:t>Onboard tenant → representation and rental search → application/document requests → offer to lease and counters → applicable standard lease → deposits/keys/move in → closeout.</w:t>
      </w:r>
    </w:p>
    <w:p>
      <w:r>
        <w:t>Variation trigger: configure role-, property- and agreement-specific field/form prerequisites. Failed, expired, withdrawn, disputed and amended paths preserve the historical file.</w:t>
      </w:r>
    </w:p>
    <w:p>
      <w:pPr>
        <w:pStyle w:val="Heading3"/>
      </w:pPr>
      <w:r>
        <w:t>T03 · Townhouse / multi-unit residential</w:t>
      </w:r>
    </w:p>
    <w:p>
      <w:r>
        <w:t>Onboard tenant → representation and rental search → application/document requests → offer to lease and counters → applicable standard lease → deposits/keys/move in → closeout.</w:t>
      </w:r>
    </w:p>
    <w:p>
      <w:r>
        <w:t>Variation trigger: configure role-, property- and agreement-specific field/form prerequisites. Failed, expired, withdrawn, disputed and amended paths preserve the historical file.</w:t>
      </w:r>
    </w:p>
    <w:p>
      <w:pPr>
        <w:pStyle w:val="Heading3"/>
      </w:pPr>
      <w:r>
        <w:t>T04 · Secondary suite / basement apartment</w:t>
      </w:r>
    </w:p>
    <w:p>
      <w:r>
        <w:t>Onboard tenant → representation and rental search → application/document requests → offer to lease and counters → applicable standard lease → deposits/keys/move in → closeout.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3"/>
      </w:pPr>
      <w:r>
        <w:t>T05 · Student / room rental</w:t>
      </w:r>
    </w:p>
    <w:p>
      <w:r>
        <w:t>Onboard tenant → representation and rental search → application/document requests → offer to lease and counters → applicable standard lease → deposits/keys/move in → closeout.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3"/>
      </w:pPr>
      <w:r>
        <w:t>T06 · Lease renewal / assignment / transfer</w:t>
      </w:r>
    </w:p>
    <w:p>
      <w:r>
        <w:t>Onboard tenant → representation and rental search → application/document requests → offer to lease and counters → applicable standard lease → deposits/keys/move in → closeout.</w:t>
      </w:r>
    </w:p>
    <w:p>
      <w:r>
        <w:t>Variation trigger: specialty agreement and additional human document review. Failed, expired, withdrawn, disputed and amended paths preserve the historical file.</w:t>
      </w:r>
    </w:p>
    <w:p>
      <w:pPr>
        <w:pStyle w:val="Heading1"/>
      </w:pPr>
      <w:r>
        <w:t>4. Cross-cutting event and guard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  <w:gridCol w:w="5040"/>
      </w:tblGrid>
      <w:tr>
        <w:tc>
          <w:tcPr>
            <w:tcW w:type="dxa" w:w="5040"/>
          </w:tcPr>
          <w:p>
            <w:r>
              <w:t>Event</w:t>
            </w:r>
          </w:p>
        </w:tc>
        <w:tc>
          <w:tcPr>
            <w:tcW w:type="dxa" w:w="5040"/>
          </w:tcPr>
          <w:p>
            <w:r>
              <w:t>Guard / work item</w:t>
            </w:r>
          </w:p>
        </w:tc>
        <w:tc>
          <w:tcPr>
            <w:tcW w:type="dxa" w:w="5040"/>
          </w:tcPr>
          <w:p>
            <w:r>
              <w:t>Next action</w:t>
            </w:r>
          </w:p>
        </w:tc>
      </w:tr>
      <w:tr>
        <w:tc>
          <w:tcPr>
            <w:tcW w:type="dxa" w:w="5040"/>
          </w:tcPr>
          <w:p>
            <w:r>
              <w:t>Client assigned</w:t>
            </w:r>
          </w:p>
        </w:tc>
        <w:tc>
          <w:tcPr>
            <w:tcW w:type="dxa" w:w="5040"/>
          </w:tcPr>
          <w:p>
            <w:r>
              <w:t>Guide/disclosure/representation applicability evaluated</w:t>
            </w:r>
          </w:p>
        </w:tc>
        <w:tc>
          <w:tcPr>
            <w:tcW w:type="dxa" w:w="5040"/>
          </w:tcPr>
          <w:p>
            <w:r>
              <w:t>Active onboarding</w:t>
            </w:r>
          </w:p>
        </w:tc>
      </w:tr>
      <w:tr>
        <w:tc>
          <w:tcPr>
            <w:tcW w:type="dxa" w:w="5040"/>
          </w:tcPr>
          <w:p>
            <w:r>
              <w:t>Listing authorized</w:t>
            </w:r>
          </w:p>
        </w:tc>
        <w:tc>
          <w:tcPr>
            <w:tcW w:type="dxa" w:w="5040"/>
          </w:tcPr>
          <w:p>
            <w:r>
              <w:t>Listing agreement + permissions and property data</w:t>
            </w:r>
          </w:p>
        </w:tc>
        <w:tc>
          <w:tcPr>
            <w:tcW w:type="dxa" w:w="5040"/>
          </w:tcPr>
          <w:p>
            <w:r>
              <w:t>Listing active</w:t>
            </w:r>
          </w:p>
        </w:tc>
      </w:tr>
      <w:tr>
        <w:tc>
          <w:tcPr>
            <w:tcW w:type="dxa" w:w="5040"/>
          </w:tcPr>
          <w:p>
            <w:r>
              <w:t>Offer received</w:t>
            </w:r>
          </w:p>
        </w:tc>
        <w:tc>
          <w:tcPr>
            <w:tcW w:type="dxa" w:w="5040"/>
          </w:tcPr>
          <w:p>
            <w:r>
              <w:t>Unique ID, source, arrival and presentation history</w:t>
            </w:r>
          </w:p>
        </w:tc>
        <w:tc>
          <w:tcPr>
            <w:tcW w:type="dxa" w:w="5040"/>
          </w:tcPr>
          <w:p>
            <w:r>
              <w:t>Registered</w:t>
            </w:r>
          </w:p>
        </w:tc>
      </w:tr>
      <w:tr>
        <w:tc>
          <w:tcPr>
            <w:tcW w:type="dxa" w:w="5040"/>
          </w:tcPr>
          <w:p>
            <w:r>
              <w:t>Offer countered</w:t>
            </w:r>
          </w:p>
        </w:tc>
        <w:tc>
          <w:tcPr>
            <w:tcW w:type="dxa" w:w="5040"/>
          </w:tcPr>
          <w:p>
            <w:r>
              <w:t>New signed version and irrevocability review</w:t>
            </w:r>
          </w:p>
        </w:tc>
        <w:tc>
          <w:tcPr>
            <w:tcW w:type="dxa" w:w="5040"/>
          </w:tcPr>
          <w:p>
            <w:r>
              <w:t>Negotiating</w:t>
            </w:r>
          </w:p>
        </w:tc>
      </w:tr>
      <w:tr>
        <w:tc>
          <w:tcPr>
            <w:tcW w:type="dxa" w:w="5040"/>
          </w:tcPr>
          <w:p>
            <w:r>
              <w:t>Offer accepted</w:t>
            </w:r>
          </w:p>
        </w:tc>
        <w:tc>
          <w:tcPr>
            <w:tcW w:type="dxa" w:w="5040"/>
          </w:tcPr>
          <w:p>
            <w:r>
              <w:t>Execution evidence + conditions extracted</w:t>
            </w:r>
          </w:p>
        </w:tc>
        <w:tc>
          <w:tcPr>
            <w:tcW w:type="dxa" w:w="5040"/>
          </w:tcPr>
          <w:p>
            <w:r>
              <w:t>Conditional or firm candidate</w:t>
            </w:r>
          </w:p>
        </w:tc>
      </w:tr>
      <w:tr>
        <w:tc>
          <w:tcPr>
            <w:tcW w:type="dxa" w:w="5040"/>
          </w:tcPr>
          <w:p>
            <w:r>
              <w:t>Condition fulfilled/waived</w:t>
            </w:r>
          </w:p>
        </w:tc>
        <w:tc>
          <w:tcPr>
            <w:tcW w:type="dxa" w:w="5040"/>
          </w:tcPr>
          <w:p>
            <w:r>
              <w:t>Applicable completed notice and evidence</w:t>
            </w:r>
          </w:p>
        </w:tc>
        <w:tc>
          <w:tcPr>
            <w:tcW w:type="dxa" w:w="5040"/>
          </w:tcPr>
          <w:p>
            <w:r>
              <w:t>Recompute outstanding obligations</w:t>
            </w:r>
          </w:p>
        </w:tc>
      </w:tr>
      <w:tr>
        <w:tc>
          <w:tcPr>
            <w:tcW w:type="dxa" w:w="5040"/>
          </w:tcPr>
          <w:p>
            <w:r>
              <w:t>Contract amended</w:t>
            </w:r>
          </w:p>
        </w:tc>
        <w:tc>
          <w:tcPr>
            <w:tcW w:type="dxa" w:w="5040"/>
          </w:tcPr>
          <w:p>
            <w:r>
              <w:t>Correct amendment, execution and conflict checks</w:t>
            </w:r>
          </w:p>
        </w:tc>
        <w:tc>
          <w:tcPr>
            <w:tcW w:type="dxa" w:w="5040"/>
          </w:tcPr>
          <w:p>
            <w:r>
              <w:t>Recompute dependent tasks/terms</w:t>
            </w:r>
          </w:p>
        </w:tc>
      </w:tr>
      <w:tr>
        <w:tc>
          <w:tcPr>
            <w:tcW w:type="dxa" w:w="5040"/>
          </w:tcPr>
          <w:p>
            <w:r>
              <w:t>Deposit expected/received</w:t>
            </w:r>
          </w:p>
        </w:tc>
        <w:tc>
          <w:tcPr>
            <w:tcW w:type="dxa" w:w="5040"/>
          </w:tcPr>
          <w:p>
            <w:r>
              <w:t>Event, holder, amount, due date and proof</w:t>
            </w:r>
          </w:p>
        </w:tc>
        <w:tc>
          <w:tcPr>
            <w:tcW w:type="dxa" w:w="5040"/>
          </w:tcPr>
          <w:p>
            <w:r>
              <w:t>Deposit status updated independently</w:t>
            </w:r>
          </w:p>
        </w:tc>
      </w:tr>
      <w:tr>
        <w:tc>
          <w:tcPr>
            <w:tcW w:type="dxa" w:w="5040"/>
          </w:tcPr>
          <w:p>
            <w:r>
              <w:t>Closing delayed/failed</w:t>
            </w:r>
          </w:p>
        </w:tc>
        <w:tc>
          <w:tcPr>
            <w:tcW w:type="dxa" w:w="5040"/>
          </w:tcPr>
          <w:p>
            <w:r>
              <w:t>Human evidence and escalation</w:t>
            </w:r>
          </w:p>
        </w:tc>
        <w:tc>
          <w:tcPr>
            <w:tcW w:type="dxa" w:w="5040"/>
          </w:tcPr>
          <w:p>
            <w:r>
              <w:t>Delayed / failed path</w:t>
            </w:r>
          </w:p>
        </w:tc>
      </w:tr>
      <w:tr>
        <w:tc>
          <w:tcPr>
            <w:tcW w:type="dxa" w:w="5040"/>
          </w:tcPr>
          <w:p>
            <w:r>
              <w:t>Closing confirmed</w:t>
            </w:r>
          </w:p>
        </w:tc>
        <w:tc>
          <w:tcPr>
            <w:tcW w:type="dxa" w:w="5040"/>
          </w:tcPr>
          <w:p>
            <w:r>
              <w:t>Closing evidence, remaining tasks, outcome</w:t>
            </w:r>
          </w:p>
        </w:tc>
        <w:tc>
          <w:tcPr>
            <w:tcW w:type="dxa" w:w="5040"/>
          </w:tcPr>
          <w:p>
            <w:r>
              <w:t>Closed / handoff</w:t>
            </w:r>
          </w:p>
        </w:tc>
      </w:tr>
      <w:tr>
        <w:tc>
          <w:tcPr>
            <w:tcW w:type="dxa" w:w="5040"/>
          </w:tcPr>
          <w:p>
            <w:r>
              <w:t>Terminated/released</w:t>
            </w:r>
          </w:p>
        </w:tc>
        <w:tc>
          <w:tcPr>
            <w:tcW w:type="dxa" w:w="5040"/>
          </w:tcPr>
          <w:p>
            <w:r>
              <w:t>Approved termination authority and deposit handling</w:t>
            </w:r>
          </w:p>
        </w:tc>
        <w:tc>
          <w:tcPr>
            <w:tcW w:type="dxa" w:w="5040"/>
          </w:tcPr>
          <w:p>
            <w:r>
              <w:t>File closeout/retain</w:t>
            </w:r>
          </w:p>
        </w:tc>
      </w:tr>
    </w:tbl>
    <w:p/>
    <w:p>
      <w:pPr>
        <w:pStyle w:val="Heading1"/>
      </w:pPr>
      <w:r>
        <w:t>5. Special flow rules</w:t>
      </w:r>
    </w:p>
    <w:p>
      <w:pPr>
        <w:pStyle w:val="ListBullet"/>
      </w:pPr>
      <w:r>
        <w:t>Same brokerage on opposite sides: party-specific permissions, screened cross-party data and explicit disclosure/consent guard before restricted activity.</w:t>
      </w:r>
    </w:p>
    <w:p>
      <w:pPr>
        <w:pStyle w:val="ListBullet"/>
      </w:pPr>
      <w:r>
        <w:t>Multi-offer seller: every offer stays distinct, signed versions preserved and presentation chronology auditable.</w:t>
      </w:r>
    </w:p>
    <w:p>
      <w:pPr>
        <w:pStyle w:val="ListBullet"/>
      </w:pPr>
      <w:r>
        <w:t>Document previously completed elsewhere: upload/parse/validate before dependency satisfaction; no forced re-creation.</w:t>
      </w:r>
    </w:p>
    <w:p>
      <w:pPr>
        <w:pStyle w:val="ListBullet"/>
      </w:pPr>
      <w:r>
        <w:t>Form version warning: persistent banner + BOR queue, progression technically permitted, legal/compliance verification separately managed.</w:t>
      </w:r>
    </w:p>
    <w:p>
      <w:pPr>
        <w:pStyle w:val="ListBullet"/>
      </w:pPr>
      <w:r>
        <w:t>Power of sale / builder: allow bank/builder-supplied agreement, specialty clauses and human applicability review; do not hard-wire OREA package.</w:t>
      </w:r>
    </w:p>
    <w:p>
      <w:pPr>
        <w:pStyle w:val="ListBullet"/>
      </w:pPr>
      <w:r>
        <w:t>Residential tenancies: distinguish application/offer to lease from Ontario standard lease requirements and tenant screening privacy constraints.</w:t>
      </w:r>
    </w:p>
    <w:p>
      <w:pPr>
        <w:pStyle w:val="ListBullet"/>
      </w:pPr>
      <w:r>
        <w:t>Condition counting: parse clause for calendar vs business days, holiday exclusions, date origin and exact deadline time; any uncertainty escalates.</w:t>
      </w:r>
    </w:p>
    <w:sectPr w:rsidR="00FC693F" w:rsidRPr="0006063C" w:rsidSect="00034616">
      <w:pgSz w:w="16848" w:h="11952"/>
      <w:pgMar w:top="1008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