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D63"/>
          <w:sz w:val="52"/>
        </w:rPr>
        <w:t>BROKO</w:t>
      </w:r>
    </w:p>
    <w:p>
      <w:pPr>
        <w:jc w:val="center"/>
      </w:pPr>
      <w:r>
        <w:rPr>
          <w:b/>
          <w:sz w:val="34"/>
        </w:rPr>
        <w:t>03 — Engineering &amp; Compliance Specification</w:t>
      </w:r>
    </w:p>
    <w:p>
      <w:pPr>
        <w:jc w:val="center"/>
      </w:pPr>
      <w:r>
        <w:t>State contracts, APIs/events, boundary controls, audit and controlled ambiguities</w:t>
      </w:r>
    </w:p>
    <w:p>
      <w:r>
        <w:t>Final requirements baseline for design | 20 October 2026 | Ontario residential only | Not a certification of legal compliance</w:t>
      </w:r>
    </w:p>
    <w:p>
      <w:pPr>
        <w:pStyle w:val="Heading1"/>
      </w:pPr>
      <w:r>
        <w:t>1. Service boundaries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  <w:gridCol w:w="5040"/>
      </w:tblGrid>
      <w:tr>
        <w:tc>
          <w:tcPr>
            <w:tcW w:type="dxa" w:w="5040"/>
          </w:tcPr>
          <w:p>
            <w:r>
              <w:t>Service</w:t>
            </w:r>
          </w:p>
        </w:tc>
        <w:tc>
          <w:tcPr>
            <w:tcW w:type="dxa" w:w="5040"/>
          </w:tcPr>
          <w:p>
            <w:r>
              <w:t>Responsibility</w:t>
            </w:r>
          </w:p>
        </w:tc>
        <w:tc>
          <w:tcPr>
            <w:tcW w:type="dxa" w:w="5040"/>
          </w:tcPr>
          <w:p>
            <w:r>
              <w:t>Out of scope</w:t>
            </w:r>
          </w:p>
        </w:tc>
      </w:tr>
      <w:tr>
        <w:tc>
          <w:tcPr>
            <w:tcW w:type="dxa" w:w="5040"/>
          </w:tcPr>
          <w:p>
            <w:r>
              <w:t>Transaction core</w:t>
            </w:r>
          </w:p>
        </w:tc>
        <w:tc>
          <w:tcPr>
            <w:tcW w:type="dxa" w:w="5040"/>
          </w:tcPr>
          <w:p>
            <w:r>
              <w:t>Party/property/role/transaction classification, workspace isolation, event state</w:t>
            </w:r>
          </w:p>
        </w:tc>
        <w:tc>
          <w:tcPr>
            <w:tcW w:type="dxa" w:w="5040"/>
          </w:tcPr>
          <w:p>
            <w:r>
              <w:t>CRM lead acquisition</w:t>
            </w:r>
          </w:p>
        </w:tc>
      </w:tr>
      <w:tr>
        <w:tc>
          <w:tcPr>
            <w:tcW w:type="dxa" w:w="5040"/>
          </w:tcPr>
          <w:p>
            <w:r>
              <w:t>Workflow + dependency</w:t>
            </w:r>
          </w:p>
        </w:tc>
        <w:tc>
          <w:tcPr>
            <w:tcW w:type="dxa" w:w="5040"/>
          </w:tcPr>
          <w:p>
            <w:r>
              <w:t>Guided/Freeflow rules, documents/tasks, evidence gates</w:t>
            </w:r>
          </w:p>
        </w:tc>
        <w:tc>
          <w:tcPr>
            <w:tcW w:type="dxa" w:w="5040"/>
          </w:tcPr>
          <w:p>
            <w:r>
              <w:t>Conferring legal validity automatically</w:t>
            </w:r>
          </w:p>
        </w:tc>
      </w:tr>
      <w:tr>
        <w:tc>
          <w:tcPr>
            <w:tcW w:type="dxa" w:w="5040"/>
          </w:tcPr>
          <w:p>
            <w:r>
              <w:t>Forms + clause registry</w:t>
            </w:r>
          </w:p>
        </w:tc>
        <w:tc>
          <w:tcPr>
            <w:tcW w:type="dxa" w:w="5040"/>
          </w:tcPr>
          <w:p>
            <w:r>
              <w:t>Licensed version metadata, tenant overlays, template and clause mapping</w:t>
            </w:r>
          </w:p>
        </w:tc>
        <w:tc>
          <w:tcPr>
            <w:tcW w:type="dxa" w:w="5040"/>
          </w:tcPr>
          <w:p>
            <w:r>
              <w:t>Unlicensed PDF redistribution</w:t>
            </w:r>
          </w:p>
        </w:tc>
      </w:tr>
      <w:tr>
        <w:tc>
          <w:tcPr>
            <w:tcW w:type="dxa" w:w="5040"/>
          </w:tcPr>
          <w:p>
            <w:r>
              <w:t>Offer register</w:t>
            </w:r>
          </w:p>
        </w:tc>
        <w:tc>
          <w:tcPr>
            <w:tcW w:type="dxa" w:w="5040"/>
          </w:tcPr>
          <w:p>
            <w:r>
              <w:t>Submission chronology, signing and counteroffers</w:t>
            </w:r>
          </w:p>
        </w:tc>
        <w:tc>
          <w:tcPr>
            <w:tcW w:type="dxa" w:w="5040"/>
          </w:tcPr>
          <w:p>
            <w:r>
              <w:t>External brokerage decision-making</w:t>
            </w:r>
          </w:p>
        </w:tc>
      </w:tr>
      <w:tr>
        <w:tc>
          <w:tcPr>
            <w:tcW w:type="dxa" w:w="5040"/>
          </w:tcPr>
          <w:p>
            <w:r>
              <w:t>Conditions/deadline engine</w:t>
            </w:r>
          </w:p>
        </w:tc>
        <w:tc>
          <w:tcPr>
            <w:tcW w:type="dxa" w:w="5040"/>
          </w:tcPr>
          <w:p>
            <w:r>
              <w:t>Exact rules from contract, reminders, audit, escalations</w:t>
            </w:r>
          </w:p>
        </w:tc>
        <w:tc>
          <w:tcPr>
            <w:tcW w:type="dxa" w:w="5040"/>
          </w:tcPr>
          <w:p>
            <w:r>
              <w:t>Determining contractual legal outcome for disputed facts</w:t>
            </w:r>
          </w:p>
        </w:tc>
      </w:tr>
      <w:tr>
        <w:tc>
          <w:tcPr>
            <w:tcW w:type="dxa" w:w="5040"/>
          </w:tcPr>
          <w:p>
            <w:r>
              <w:t>Document/signing</w:t>
            </w:r>
          </w:p>
        </w:tc>
        <w:tc>
          <w:tcPr>
            <w:tcW w:type="dxa" w:w="5040"/>
          </w:tcPr>
          <w:p>
            <w:r>
              <w:t>Generate, import, sign, store and verify evidence</w:t>
            </w:r>
          </w:p>
        </w:tc>
        <w:tc>
          <w:tcPr>
            <w:tcW w:type="dxa" w:w="5040"/>
          </w:tcPr>
          <w:p>
            <w:r>
              <w:t>Authoritative legal opinion</w:t>
            </w:r>
          </w:p>
        </w:tc>
      </w:tr>
      <w:tr>
        <w:tc>
          <w:tcPr>
            <w:tcW w:type="dxa" w:w="5040"/>
          </w:tcPr>
          <w:p>
            <w:r>
              <w:t>Compliance adapter</w:t>
            </w:r>
          </w:p>
        </w:tc>
        <w:tc>
          <w:tcPr>
            <w:tcW w:type="dxa" w:w="5040"/>
          </w:tcPr>
          <w:p>
            <w:r>
              <w:t>RECO/FINTRAC applicability/flags, human review and evidence</w:t>
            </w:r>
          </w:p>
        </w:tc>
        <w:tc>
          <w:tcPr>
            <w:tcW w:type="dxa" w:w="5040"/>
          </w:tcPr>
          <w:p>
            <w:r>
              <w:t>Blanket brokerage policy as law</w:t>
            </w:r>
          </w:p>
        </w:tc>
      </w:tr>
      <w:tr>
        <w:tc>
          <w:tcPr>
            <w:tcW w:type="dxa" w:w="5040"/>
          </w:tcPr>
          <w:p>
            <w:r>
              <w:t>Deposit tracker</w:t>
            </w:r>
          </w:p>
        </w:tc>
        <w:tc>
          <w:tcPr>
            <w:tcW w:type="dxa" w:w="5040"/>
          </w:tcPr>
          <w:p>
            <w:r>
              <w:t>Expected/received/held/released/status/evidence</w:t>
            </w:r>
          </w:p>
        </w:tc>
        <w:tc>
          <w:tcPr>
            <w:tcW w:type="dxa" w:w="5040"/>
          </w:tcPr>
          <w:p>
            <w:r>
              <w:t>Bank trust ledger and monthly reconciliation</w:t>
            </w:r>
          </w:p>
        </w:tc>
      </w:tr>
      <w:tr>
        <w:tc>
          <w:tcPr>
            <w:tcW w:type="dxa" w:w="5040"/>
          </w:tcPr>
          <w:p>
            <w:r>
              <w:t>TCS output</w:t>
            </w:r>
          </w:p>
        </w:tc>
        <w:tc>
          <w:tcPr>
            <w:tcW w:type="dxa" w:w="5040"/>
          </w:tcPr>
          <w:p>
            <w:r>
              <w:t>Validated package/API handoff</w:t>
            </w:r>
          </w:p>
        </w:tc>
        <w:tc>
          <w:tcPr>
            <w:tcW w:type="dxa" w:w="5040"/>
          </w:tcPr>
          <w:p>
            <w:r>
              <w:t>Commissions, payouts and accounting</w:t>
            </w:r>
          </w:p>
        </w:tc>
      </w:tr>
      <w:tr>
        <w:tc>
          <w:tcPr>
            <w:tcW w:type="dxa" w:w="5040"/>
          </w:tcPr>
          <w:p>
            <w:r>
              <w:t>Integrations</w:t>
            </w:r>
          </w:p>
        </w:tc>
        <w:tc>
          <w:tcPr>
            <w:tcW w:type="dxa" w:w="5040"/>
          </w:tcPr>
          <w:p>
            <w:r>
              <w:t>Form source, e-sign, calendar/email, licensed MLS, encrypted files</w:t>
            </w:r>
          </w:p>
        </w:tc>
        <w:tc>
          <w:tcPr>
            <w:tcW w:type="dxa" w:w="5040"/>
          </w:tcPr>
          <w:p>
            <w:r>
              <w:t>Unauthorized provider access</w:t>
            </w:r>
          </w:p>
        </w:tc>
      </w:tr>
    </w:tbl>
    <w:p/>
    <w:p>
      <w:pPr>
        <w:pStyle w:val="Heading1"/>
      </w:pPr>
      <w:r>
        <w:t>2. Core domain entities</w:t>
      </w:r>
    </w:p>
    <w:p>
      <w:pPr>
        <w:pStyle w:val="ListBullet"/>
      </w:pPr>
      <w:r>
        <w:t>tenant/brokerage, user, authorization role, agent-client relationship, party, confidentiality wall, property, listing, transaction, offer, offer_version, negotiation_event, signature_event, document, form_definition, form_version, clause_definition, condition, deadline_rule, deadline_event, amendment, funds_event, compliance_obligation, review_decision, audit_event, TCS_package, integration_delivery, retention_policy</w:t>
      </w:r>
    </w:p>
    <w:p>
      <w:pPr>
        <w:pStyle w:val="Heading1"/>
      </w:pPr>
      <w:r>
        <w:t>3. Primary state machines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  <w:gridCol w:w="5040"/>
      </w:tblGrid>
      <w:tr>
        <w:tc>
          <w:tcPr>
            <w:tcW w:type="dxa" w:w="5040"/>
          </w:tcPr>
          <w:p>
            <w:r>
              <w:t>Entity</w:t>
            </w:r>
          </w:p>
        </w:tc>
        <w:tc>
          <w:tcPr>
            <w:tcW w:type="dxa" w:w="5040"/>
          </w:tcPr>
          <w:p>
            <w:r>
              <w:t>States</w:t>
            </w:r>
          </w:p>
        </w:tc>
        <w:tc>
          <w:tcPr>
            <w:tcW w:type="dxa" w:w="5040"/>
          </w:tcPr>
          <w:p>
            <w:r>
              <w:t>Important guard</w:t>
            </w:r>
          </w:p>
        </w:tc>
      </w:tr>
      <w:tr>
        <w:tc>
          <w:tcPr>
            <w:tcW w:type="dxa" w:w="5040"/>
          </w:tcPr>
          <w:p>
            <w:r>
              <w:t>Transaction</w:t>
            </w:r>
          </w:p>
        </w:tc>
        <w:tc>
          <w:tcPr>
            <w:tcW w:type="dxa" w:w="5040"/>
          </w:tcPr>
          <w:p>
            <w:r>
              <w:t>Draft → Onboarding → Listing/Offer → Negotiating → Accepted Conditional/Unconditional → Firm → Pending Closing → Closed; parallel Terminated/Failed/Archived</w:t>
            </w:r>
          </w:p>
        </w:tc>
        <w:tc>
          <w:tcPr>
            <w:tcW w:type="dxa" w:w="5040"/>
          </w:tcPr>
          <w:p>
            <w:r>
              <w:t>Only verified events change legally meaningful statuses; funds state parallel</w:t>
            </w:r>
          </w:p>
        </w:tc>
      </w:tr>
      <w:tr>
        <w:tc>
          <w:tcPr>
            <w:tcW w:type="dxa" w:w="5040"/>
          </w:tcPr>
          <w:p>
            <w:r>
              <w:t>Offer</w:t>
            </w:r>
          </w:p>
        </w:tc>
        <w:tc>
          <w:tcPr>
            <w:tcW w:type="dxa" w:w="5040"/>
          </w:tcPr>
          <w:p>
            <w:r>
              <w:t>Draft → Signed → Presented → Countered/Accepted/Rejected/Expired/Withdrawn</w:t>
            </w:r>
          </w:p>
        </w:tc>
        <w:tc>
          <w:tcPr>
            <w:tcW w:type="dxa" w:w="5040"/>
          </w:tcPr>
          <w:p>
            <w:r>
              <w:t>Each counteroffer is a new linked immutable version</w:t>
            </w:r>
          </w:p>
        </w:tc>
      </w:tr>
      <w:tr>
        <w:tc>
          <w:tcPr>
            <w:tcW w:type="dxa" w:w="5040"/>
          </w:tcPr>
          <w:p>
            <w:r>
              <w:t>Document</w:t>
            </w:r>
          </w:p>
        </w:tc>
        <w:tc>
          <w:tcPr>
            <w:tcW w:type="dxa" w:w="5040"/>
          </w:tcPr>
          <w:p>
            <w:r>
              <w:t>Draft → Prepared → Sent → Partial/Complete Signing → Verified/Review Required → Retained</w:t>
            </w:r>
          </w:p>
        </w:tc>
        <w:tc>
          <w:tcPr>
            <w:tcW w:type="dxa" w:w="5040"/>
          </w:tcPr>
          <w:p>
            <w:r>
              <w:t>Upload alone is not verified; signed original immutable</w:t>
            </w:r>
          </w:p>
        </w:tc>
      </w:tr>
      <w:tr>
        <w:tc>
          <w:tcPr>
            <w:tcW w:type="dxa" w:w="5040"/>
          </w:tcPr>
          <w:p>
            <w:r>
              <w:t>Condition</w:t>
            </w:r>
          </w:p>
        </w:tc>
        <w:tc>
          <w:tcPr>
            <w:tcW w:type="dxa" w:w="5040"/>
          </w:tcPr>
          <w:p>
            <w:r>
              <w:t>Identified → Active → Evidence Submitted → Fulfilled/Waived/Amended/Expired/Disputed</w:t>
            </w:r>
          </w:p>
        </w:tc>
        <w:tc>
          <w:tcPr>
            <w:tcW w:type="dxa" w:w="5040"/>
          </w:tcPr>
          <w:p>
            <w:r>
              <w:t>No automatic legal outcome on missed deadline</w:t>
            </w:r>
          </w:p>
        </w:tc>
      </w:tr>
      <w:tr>
        <w:tc>
          <w:tcPr>
            <w:tcW w:type="dxa" w:w="5040"/>
          </w:tcPr>
          <w:p>
            <w:r>
              <w:t>Deposit</w:t>
            </w:r>
          </w:p>
        </w:tc>
        <w:tc>
          <w:tcPr>
            <w:tcW w:type="dxa" w:w="5040"/>
          </w:tcPr>
          <w:p>
            <w:r>
              <w:t>Expected → Instructions Sent → Received/Held Elsewhere → Late/Disputed → Released/Applied</w:t>
            </w:r>
          </w:p>
        </w:tc>
        <w:tc>
          <w:tcPr>
            <w:tcW w:type="dxa" w:w="5040"/>
          </w:tcPr>
          <w:p>
            <w:r>
              <w:t>Events and proof only, not accounting ledger</w:t>
            </w:r>
          </w:p>
        </w:tc>
      </w:tr>
      <w:tr>
        <w:tc>
          <w:tcPr>
            <w:tcW w:type="dxa" w:w="5040"/>
          </w:tcPr>
          <w:p>
            <w:r>
              <w:t>Compliance</w:t>
            </w:r>
          </w:p>
        </w:tc>
        <w:tc>
          <w:tcPr>
            <w:tcW w:type="dxa" w:w="5040"/>
          </w:tcPr>
          <w:p>
            <w:r>
              <w:t>Not Assessed → Applicable/Exempt with rationale → Awaiting Evidence → Reviewed/Exception Escalated</w:t>
            </w:r>
          </w:p>
        </w:tc>
        <w:tc>
          <w:tcPr>
            <w:tcW w:type="dxa" w:w="5040"/>
          </w:tcPr>
          <w:p>
            <w:r>
              <w:t>Legal requirement cannot be marked satisfied by warning-only override</w:t>
            </w:r>
          </w:p>
        </w:tc>
      </w:tr>
    </w:tbl>
    <w:p/>
    <w:p>
      <w:pPr>
        <w:pStyle w:val="Heading1"/>
      </w:pPr>
      <w:r>
        <w:t>4. API/Event integration contract examples</w:t>
      </w:r>
    </w:p>
    <w:p>
      <w:pPr>
        <w:pStyle w:val="ListBullet"/>
      </w:pPr>
      <w:r>
        <w:t>POST /transactions creates or imports context; POST /transactions/{id}/events appends typed, idempotent events with evidence refs and rule version.</w:t>
      </w:r>
    </w:p>
    <w:p>
      <w:pPr>
        <w:pStyle w:val="ListBullet"/>
      </w:pPr>
      <w:r>
        <w:t>POST /offers/{id}/versions records version and signer chronology; GET /offer-register?transaction_id returns role-filtered offer states.</w:t>
      </w:r>
    </w:p>
    <w:p>
      <w:pPr>
        <w:pStyle w:val="ListBullet"/>
      </w:pPr>
      <w:r>
        <w:t>POST /documents/import returns pending-validation status, extraction confidence and explicit dependency matches; never auto-verified just on upload.</w:t>
      </w:r>
    </w:p>
    <w:p>
      <w:pPr>
        <w:pStyle w:val="ListBullet"/>
      </w:pPr>
      <w:r>
        <w:t>POST /compliance/evaluate evaluates source-linked obligations and emits separate statutory status vs operational-warning status.</w:t>
      </w:r>
    </w:p>
    <w:p>
      <w:pPr>
        <w:pStyle w:val="ListBullet"/>
      </w:pPr>
      <w:r>
        <w:t>POST /conditions/{id}/resolve accepts signed notice/waiver or amendment evidence, not free text alone when documents required.</w:t>
      </w:r>
    </w:p>
    <w:p>
      <w:pPr>
        <w:pStyle w:val="ListBullet"/>
      </w:pPr>
      <w:r>
        <w:t>POST /tcs/packages composes validated read-only snapshot with source field pointers; POST /handoff sends idempotent event to separate back-office module.</w:t>
      </w:r>
    </w:p>
    <w:p>
      <w:pPr>
        <w:pStyle w:val="ListBullet"/>
      </w:pPr>
      <w:r>
        <w:t>WEBHOOK /esign/{provider} validates signature and event identity before state transition; retries duplicate-safe.</w:t>
      </w:r>
    </w:p>
    <w:p>
      <w:pPr>
        <w:pStyle w:val="Heading1"/>
      </w:pPr>
      <w:r>
        <w:t>5. Security/privacy and AI constraints</w:t>
      </w:r>
    </w:p>
    <w:p>
      <w:pPr>
        <w:pStyle w:val="ListBullet"/>
      </w:pPr>
      <w:r>
        <w:t>No client documents to unapproved AI providers; approved processing must document access, retention, data locality and provider role.</w:t>
      </w:r>
    </w:p>
    <w:p>
      <w:pPr>
        <w:pStyle w:val="ListBullet"/>
      </w:pPr>
      <w:r>
        <w:t>Privacy-aware document access by brokerage, role, designated representative, represented client and matter; tenant screening minimum-necessary collection, retention and human decisions.</w:t>
      </w:r>
    </w:p>
    <w:p>
      <w:pPr>
        <w:pStyle w:val="ListBullet"/>
      </w:pPr>
      <w:r>
        <w:t>Signed documents and audit log tamper-evident with independent storage/version identifiers; encryption and deletion policies.</w:t>
      </w:r>
    </w:p>
    <w:p>
      <w:pPr>
        <w:pStyle w:val="ListBullet"/>
      </w:pPr>
      <w:r>
        <w:t>No automatic legal assessment, release of deposits, prohibited screening or independent approval of custom clause terms.</w:t>
      </w:r>
    </w:p>
    <w:p>
      <w:pPr>
        <w:pStyle w:val="ListBullet"/>
      </w:pPr>
      <w:r>
        <w:t>Retention policy defaults seven years, configurable; holds and stricter applicable legal obligations take precedence.</w:t>
      </w:r>
    </w:p>
    <w:p>
      <w:pPr>
        <w:pStyle w:val="Heading1"/>
      </w:pPr>
      <w:r>
        <w:t>6. Source-backed compliance guardrails</w:t>
      </w:r>
    </w:p>
    <w:p>
      <w:pPr>
        <w:pStyle w:val="ListBullet"/>
      </w:pPr>
      <w:r>
        <w:t>RECO TRESA guidance: multiple representation depends on brokerage vs designated model; disclosure and client consent require a distinct workflow (REG-01).</w:t>
      </w:r>
    </w:p>
    <w:p>
      <w:pPr>
        <w:pStyle w:val="ListBullet"/>
      </w:pPr>
      <w:r>
        <w:t>Ontario regulation 579/05 provides the brokerage trade-record obligations and trust-account operations (REG-02); full trust ledger/monthly reconciliation implementation is explicitly delegated to separate back-office product.</w:t>
      </w:r>
    </w:p>
    <w:p>
      <w:pPr>
        <w:pStyle w:val="ListBullet"/>
      </w:pPr>
      <w:r>
        <w:t>Ontario Standard Form of Lease applies to most residential tenancy agreements; OREA offer-to-lease is not an automatic substitute (REG-03).</w:t>
      </w:r>
    </w:p>
    <w:p>
      <w:pPr>
        <w:pStyle w:val="ListBullet"/>
      </w:pPr>
      <w:r>
        <w:t>FINTRAC real-estate recordkeeping and identity requirements must be evaluated per actual event, role, counterparty, exception and current guidance (REG-04/05).</w:t>
      </w:r>
    </w:p>
    <w:p>
      <w:pPr>
        <w:pStyle w:val="Heading1"/>
      </w:pPr>
      <w:r>
        <w:t>7. Open controlled ambiguities and resolution protocol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ID</w:t>
            </w:r>
          </w:p>
        </w:tc>
        <w:tc>
          <w:tcPr>
            <w:tcW w:type="dxa" w:w="3024"/>
          </w:tcPr>
          <w:p>
            <w:r>
              <w:t>Issue</w:t>
            </w:r>
          </w:p>
        </w:tc>
        <w:tc>
          <w:tcPr>
            <w:tcW w:type="dxa" w:w="3024"/>
          </w:tcPr>
          <w:p>
            <w:r>
              <w:t>Recommended handling</w:t>
            </w:r>
          </w:p>
        </w:tc>
        <w:tc>
          <w:tcPr>
            <w:tcW w:type="dxa" w:w="3024"/>
          </w:tcPr>
          <w:p>
            <w:r>
              <w:t>Status</w:t>
            </w:r>
          </w:p>
        </w:tc>
        <w:tc>
          <w:tcPr>
            <w:tcW w:type="dxa" w:w="3024"/>
          </w:tcPr>
          <w:p>
            <w:r>
              <w:t>Risk</w:t>
            </w:r>
          </w:p>
        </w:tc>
      </w:tr>
      <w:tr>
        <w:tc>
          <w:tcPr>
            <w:tcW w:type="dxa" w:w="3024"/>
          </w:tcPr>
          <w:p>
            <w:r>
              <w:t>A-01</w:t>
            </w:r>
          </w:p>
        </w:tc>
        <w:tc>
          <w:tcPr>
            <w:tcW w:type="dxa" w:w="3024"/>
          </w:tcPr>
          <w:p>
            <w:r>
              <w:t>Q12 versus Q16</w:t>
            </w:r>
          </w:p>
        </w:tc>
        <w:tc>
          <w:tcPr>
            <w:tcW w:type="dxa" w:w="3024"/>
          </w:tcPr>
          <w:p>
            <w:r>
              <w:t>Warn-only current-form-version status while preserving legally significant gates — Never stop navigation because latest-version check is pending, but never mislabel form as current; disclose risk, BOR notification and independently enforce actual required signing/compliance rules.</w:t>
            </w:r>
          </w:p>
        </w:tc>
        <w:tc>
          <w:tcPr>
            <w:tcW w:type="dxa" w:w="3024"/>
          </w:tcPr>
          <w:p>
            <w:r>
              <w:t>Decision chosen; legal validity of particular form needs advice</w:t>
            </w:r>
          </w:p>
        </w:tc>
        <w:tc>
          <w:tcPr>
            <w:tcW w:type="dxa" w:w="3024"/>
          </w:tcPr>
          <w:p>
            <w:r>
              <w:t>High</w:t>
            </w:r>
          </w:p>
        </w:tc>
      </w:tr>
      <w:tr>
        <w:tc>
          <w:tcPr>
            <w:tcW w:type="dxa" w:w="3024"/>
          </w:tcPr>
          <w:p>
            <w:r>
              <w:t>A-02</w:t>
            </w:r>
          </w:p>
        </w:tc>
        <w:tc>
          <w:tcPr>
            <w:tcW w:type="dxa" w:w="3024"/>
          </w:tcPr>
          <w:p>
            <w:r>
              <w:t>GUIDED/FREEFLOW</w:t>
            </w:r>
          </w:p>
        </w:tc>
        <w:tc>
          <w:tcPr>
            <w:tcW w:type="dxa" w:w="3024"/>
          </w:tcPr>
          <w:p>
            <w:r>
              <w:t>Guided for common paths; Freeflow for exceptions, but earlier BOR called for both broadly — Provide guided templates to core common scenarios and freeflow selection for all permitted form/task operations, sharing controls; specialty paths may start Freeflow.</w:t>
            </w:r>
          </w:p>
        </w:tc>
        <w:tc>
          <w:tcPr>
            <w:tcW w:type="dxa" w:w="3024"/>
          </w:tcPr>
          <w:p>
            <w:r>
              <w:t>Resolved design interpretation</w:t>
            </w:r>
          </w:p>
        </w:tc>
        <w:tc>
          <w:tcPr>
            <w:tcW w:type="dxa" w:w="3024"/>
          </w:tcPr>
          <w:p>
            <w:r>
              <w:t>Medium</w:t>
            </w:r>
          </w:p>
        </w:tc>
      </w:tr>
      <w:tr>
        <w:tc>
          <w:tcPr>
            <w:tcW w:type="dxa" w:w="3024"/>
          </w:tcPr>
          <w:p>
            <w:r>
              <w:t>A-03</w:t>
            </w:r>
          </w:p>
        </w:tc>
        <w:tc>
          <w:tcPr>
            <w:tcW w:type="dxa" w:w="3024"/>
          </w:tcPr>
          <w:p>
            <w:r>
              <w:t>FINTRAC receipt of funds</w:t>
            </w:r>
          </w:p>
        </w:tc>
        <w:tc>
          <w:tcPr>
            <w:tcW w:type="dxa" w:w="3024"/>
          </w:tcPr>
          <w:p>
            <w:r>
              <w:t>BOR transcript has conflicting general statements regarding holder and buyer vs seller — Base on transaction facts and current FINTRAC reporting/recordkeeping guidance, not a blanket brokerage-side rule.</w:t>
            </w:r>
          </w:p>
        </w:tc>
        <w:tc>
          <w:tcPr>
            <w:tcW w:type="dxa" w:w="3024"/>
          </w:tcPr>
          <w:p>
            <w:r>
              <w:t>Compliance mapping remains verification gate</w:t>
            </w:r>
          </w:p>
        </w:tc>
        <w:tc>
          <w:tcPr>
            <w:tcW w:type="dxa" w:w="3024"/>
          </w:tcPr>
          <w:p>
            <w:r>
              <w:t>High</w:t>
            </w:r>
          </w:p>
        </w:tc>
      </w:tr>
      <w:tr>
        <w:tc>
          <w:tcPr>
            <w:tcW w:type="dxa" w:w="3024"/>
          </w:tcPr>
          <w:p>
            <w:r>
              <w:t>A-04</w:t>
            </w:r>
          </w:p>
        </w:tc>
        <w:tc>
          <w:tcPr>
            <w:tcW w:type="dxa" w:w="3024"/>
          </w:tcPr>
          <w:p>
            <w:r>
              <w:t>Form 121 vs 124</w:t>
            </w:r>
          </w:p>
        </w:tc>
        <w:tc>
          <w:tcPr>
            <w:tcW w:type="dxa" w:w="3024"/>
          </w:tcPr>
          <w:p>
            <w:r>
              <w:t>Historical project indexes conflict about fulfillment titles — Never generate by number alone; authoritative library title/version approval needed.</w:t>
            </w:r>
          </w:p>
        </w:tc>
        <w:tc>
          <w:tcPr>
            <w:tcW w:type="dxa" w:w="3024"/>
          </w:tcPr>
          <w:p>
            <w:r>
              <w:t>Form registry task</w:t>
            </w:r>
          </w:p>
        </w:tc>
        <w:tc>
          <w:tcPr>
            <w:tcW w:type="dxa" w:w="3024"/>
          </w:tcPr>
          <w:p>
            <w:r>
              <w:t>High</w:t>
            </w:r>
          </w:p>
        </w:tc>
      </w:tr>
      <w:tr>
        <w:tc>
          <w:tcPr>
            <w:tcW w:type="dxa" w:w="3024"/>
          </w:tcPr>
          <w:p>
            <w:r>
              <w:t>A-05</w:t>
            </w:r>
          </w:p>
        </w:tc>
        <w:tc>
          <w:tcPr>
            <w:tcW w:type="dxa" w:w="3024"/>
          </w:tcPr>
          <w:p>
            <w:r>
              <w:t>Lease agreement</w:t>
            </w:r>
          </w:p>
        </w:tc>
        <w:tc>
          <w:tcPr>
            <w:tcW w:type="dxa" w:w="3024"/>
          </w:tcPr>
          <w:p>
            <w:r>
              <w:t>OREA 400 offer-to-lease does not replace Ontario standard lease where required — Include standard residential lease plus exception classification and applicable disclosure/privacy controls.</w:t>
            </w:r>
          </w:p>
        </w:tc>
        <w:tc>
          <w:tcPr>
            <w:tcW w:type="dxa" w:w="3024"/>
          </w:tcPr>
          <w:p>
            <w:r>
              <w:t>Verified general source</w:t>
            </w:r>
          </w:p>
        </w:tc>
        <w:tc>
          <w:tcPr>
            <w:tcW w:type="dxa" w:w="3024"/>
          </w:tcPr>
          <w:p>
            <w:r>
              <w:t>High</w:t>
            </w:r>
          </w:p>
        </w:tc>
      </w:tr>
      <w:tr>
        <w:tc>
          <w:tcPr>
            <w:tcW w:type="dxa" w:w="3024"/>
          </w:tcPr>
          <w:p>
            <w:r>
              <w:t>A-06</w:t>
            </w:r>
          </w:p>
        </w:tc>
        <w:tc>
          <w:tcPr>
            <w:tcW w:type="dxa" w:w="3024"/>
          </w:tcPr>
          <w:p>
            <w:r>
              <w:t>Residential vs commercial</w:t>
            </w:r>
          </w:p>
        </w:tc>
        <w:tc>
          <w:tcPr>
            <w:tcW w:type="dxa" w:w="3024"/>
          </w:tcPr>
          <w:p>
            <w:r>
              <w:t>User explicitly excludes commercial — Exclude commercial trade/lease workflows and commercial-specific documents from releases.</w:t>
            </w:r>
          </w:p>
        </w:tc>
        <w:tc>
          <w:tcPr>
            <w:tcW w:type="dxa" w:w="3024"/>
          </w:tcPr>
          <w:p>
            <w:r>
              <w:t>Resolved scope</w:t>
            </w:r>
          </w:p>
        </w:tc>
        <w:tc>
          <w:tcPr>
            <w:tcW w:type="dxa" w:w="3024"/>
          </w:tcPr>
          <w:p>
            <w:r>
              <w:t>Low</w:t>
            </w:r>
          </w:p>
        </w:tc>
      </w:tr>
      <w:tr>
        <w:tc>
          <w:tcPr>
            <w:tcW w:type="dxa" w:w="3024"/>
          </w:tcPr>
          <w:p>
            <w:r>
              <w:t>A-07</w:t>
            </w:r>
          </w:p>
        </w:tc>
        <w:tc>
          <w:tcPr>
            <w:tcW w:type="dxa" w:w="3024"/>
          </w:tcPr>
          <w:p>
            <w:r>
              <w:t>Deposit/trust ownership</w:t>
            </w:r>
          </w:p>
        </w:tc>
        <w:tc>
          <w:tcPr>
            <w:tcW w:type="dxa" w:w="3024"/>
          </w:tcPr>
          <w:p>
            <w:r>
              <w:t>Full trust accounting excluded from current module — Track statuses/evidence/instructions, send structured events to back office; do not implement bank/trust ledger reconciliation here.</w:t>
            </w:r>
          </w:p>
        </w:tc>
        <w:tc>
          <w:tcPr>
            <w:tcW w:type="dxa" w:w="3024"/>
          </w:tcPr>
          <w:p>
            <w:r>
              <w:t>Resolved scope</w:t>
            </w:r>
          </w:p>
        </w:tc>
        <w:tc>
          <w:tcPr>
            <w:tcW w:type="dxa" w:w="3024"/>
          </w:tcPr>
          <w:p>
            <w:r>
              <w:t>Medium</w:t>
            </w:r>
          </w:p>
        </w:tc>
      </w:tr>
      <w:tr>
        <w:tc>
          <w:tcPr>
            <w:tcW w:type="dxa" w:w="3024"/>
          </w:tcPr>
          <w:p>
            <w:r>
              <w:t>A-08</w:t>
            </w:r>
          </w:p>
        </w:tc>
        <w:tc>
          <w:tcPr>
            <w:tcW w:type="dxa" w:w="3024"/>
          </w:tcPr>
          <w:p>
            <w:r>
              <w:t>Specialty transactions</w:t>
            </w:r>
          </w:p>
        </w:tc>
        <w:tc>
          <w:tcPr>
            <w:tcW w:type="dxa" w:w="3024"/>
          </w:tcPr>
          <w:p>
            <w:r>
              <w:t>All designed, launch scope later — Design rule extension points and scenario briefs; do not represent as full production-validated forms at launch.</w:t>
            </w:r>
          </w:p>
        </w:tc>
        <w:tc>
          <w:tcPr>
            <w:tcW w:type="dxa" w:w="3024"/>
          </w:tcPr>
          <w:p>
            <w:r>
              <w:t>Release planning</w:t>
            </w:r>
          </w:p>
        </w:tc>
        <w:tc>
          <w:tcPr>
            <w:tcW w:type="dxa" w:w="3024"/>
          </w:tcPr>
          <w:p>
            <w:r>
              <w:t>Medium</w:t>
            </w:r>
          </w:p>
        </w:tc>
      </w:tr>
      <w:tr>
        <w:tc>
          <w:tcPr>
            <w:tcW w:type="dxa" w:w="3024"/>
          </w:tcPr>
          <w:p>
            <w:r>
              <w:t>A-09</w:t>
            </w:r>
          </w:p>
        </w:tc>
        <w:tc>
          <w:tcPr>
            <w:tcW w:type="dxa" w:w="3024"/>
          </w:tcPr>
          <w:p>
            <w:r>
              <w:t>Agent signing vs legal state</w:t>
            </w:r>
          </w:p>
        </w:tc>
        <w:tc>
          <w:tcPr>
            <w:tcW w:type="dxa" w:w="3024"/>
          </w:tcPr>
          <w:p>
            <w:r>
              <w:t>Unconditional/conditional statuses are sometimes conflated with deposit and marketing sold — Track evidence-based contract state separate from listing marketing labels and funds state.</w:t>
            </w:r>
          </w:p>
        </w:tc>
        <w:tc>
          <w:tcPr>
            <w:tcW w:type="dxa" w:w="3024"/>
          </w:tcPr>
          <w:p>
            <w:r>
              <w:t>BOR transcript + legal review</w:t>
            </w:r>
          </w:p>
        </w:tc>
        <w:tc>
          <w:tcPr>
            <w:tcW w:type="dxa" w:w="3024"/>
          </w:tcPr>
          <w:p>
            <w:r>
              <w:t>High</w:t>
            </w:r>
          </w:p>
        </w:tc>
      </w:tr>
      <w:tr>
        <w:tc>
          <w:tcPr>
            <w:tcW w:type="dxa" w:w="3024"/>
          </w:tcPr>
          <w:p>
            <w:r>
              <w:t>A-10</w:t>
            </w:r>
          </w:p>
        </w:tc>
        <w:tc>
          <w:tcPr>
            <w:tcW w:type="dxa" w:w="3024"/>
          </w:tcPr>
          <w:p>
            <w:r>
              <w:t>Identity document collection</w:t>
            </w:r>
          </w:p>
        </w:tc>
        <w:tc>
          <w:tcPr>
            <w:tcW w:type="dxa" w:w="3024"/>
          </w:tcPr>
          <w:p>
            <w:r>
              <w:t>BOR unsure about storage of actual government ID scans — Minimize sensitive collection; decide on lawful necessity, access, retention and method-specific evidence before production.</w:t>
            </w:r>
          </w:p>
        </w:tc>
        <w:tc>
          <w:tcPr>
            <w:tcW w:type="dxa" w:w="3024"/>
          </w:tcPr>
          <w:p>
            <w:r>
              <w:t>Privacy decision needed</w:t>
            </w:r>
          </w:p>
        </w:tc>
        <w:tc>
          <w:tcPr>
            <w:tcW w:type="dxa" w:w="3024"/>
          </w:tcPr>
          <w:p>
            <w:r>
              <w:t>High</w:t>
            </w:r>
          </w:p>
        </w:tc>
      </w:tr>
      <w:tr>
        <w:tc>
          <w:tcPr>
            <w:tcW w:type="dxa" w:w="3024"/>
          </w:tcPr>
          <w:p>
            <w:r>
              <w:t>A-11</w:t>
            </w:r>
          </w:p>
        </w:tc>
        <w:tc>
          <w:tcPr>
            <w:tcW w:type="dxa" w:w="3024"/>
          </w:tcPr>
          <w:p>
            <w:r>
              <w:t>Seller/landlord listing inputs</w:t>
            </w:r>
          </w:p>
        </w:tc>
        <w:tc>
          <w:tcPr>
            <w:tcW w:type="dxa" w:w="3024"/>
          </w:tcPr>
          <w:p>
            <w:r>
              <w:t>Actual listing-side form field inventory not supplied — Final field maps depend on licensed sample files, otherwise field schema is a template pending mapping.</w:t>
            </w:r>
          </w:p>
        </w:tc>
        <w:tc>
          <w:tcPr>
            <w:tcW w:type="dxa" w:w="3024"/>
          </w:tcPr>
          <w:p>
            <w:r>
              <w:t>Licensed form library needed</w:t>
            </w:r>
          </w:p>
        </w:tc>
        <w:tc>
          <w:tcPr>
            <w:tcW w:type="dxa" w:w="3024"/>
          </w:tcPr>
          <w:p>
            <w:r>
              <w:t>High</w:t>
            </w:r>
          </w:p>
        </w:tc>
      </w:tr>
      <w:tr>
        <w:tc>
          <w:tcPr>
            <w:tcW w:type="dxa" w:w="3024"/>
          </w:tcPr>
          <w:p>
            <w:r>
              <w:t>A-12</w:t>
            </w:r>
          </w:p>
        </w:tc>
        <w:tc>
          <w:tcPr>
            <w:tcW w:type="dxa" w:w="3024"/>
          </w:tcPr>
          <w:p>
            <w:r>
              <w:t>Full marketable vs first POC</w:t>
            </w:r>
          </w:p>
        </w:tc>
        <w:tc>
          <w:tcPr>
            <w:tcW w:type="dxa" w:w="3024"/>
          </w:tcPr>
          <w:p>
            <w:r>
              <w:t>Master covers all, POC builds only Buyer Freehold — Acceptance and release gate separate for proof of concept and marketed product; no blanket market-ready claim.</w:t>
            </w:r>
          </w:p>
        </w:tc>
        <w:tc>
          <w:tcPr>
            <w:tcW w:type="dxa" w:w="3024"/>
          </w:tcPr>
          <w:p>
            <w:r>
              <w:t>Resolved</w:t>
            </w:r>
          </w:p>
        </w:tc>
        <w:tc>
          <w:tcPr>
            <w:tcW w:type="dxa" w:w="3024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8. Evidence requirements for each work item</w:t>
      </w:r>
    </w:p>
    <w:p>
      <w:pPr>
        <w:pStyle w:val="ListBullet"/>
      </w:pPr>
      <w:r>
        <w:t>For each rule: rule_id, version, legal/business classification, source URL, effective date, jurisdiction, applicability JSON, role, event trigger, prerequisites, completion evidence, permitted exception and downstream reevaluation.</w:t>
      </w:r>
    </w:p>
    <w:p>
      <w:pPr>
        <w:pStyle w:val="ListBullet"/>
      </w:pPr>
      <w:r>
        <w:t>For each completed action: transaction_id, event_id, actor, timestamp with offset, form_version_id, immutable document hash/reference, signature evidence and reviewer determination.</w:t>
      </w:r>
    </w:p>
    <w:p>
      <w:pPr>
        <w:pStyle w:val="ListBullet"/>
      </w:pPr>
      <w:r>
        <w:t>For form field mapping: form_id, version, field_id, display label, data type, required/conditional, validations, auto-prefill source, signer/party link, PDF placement and repeatable arrays.</w:t>
      </w:r>
    </w:p>
    <w:p>
      <w:pPr>
        <w:pStyle w:val="Heading1"/>
      </w:pPr>
      <w:r>
        <w:t>9. External references</w:t>
      </w:r>
    </w:p>
    <w:p>
      <w:pPr>
        <w:pStyle w:val="ListBullet"/>
      </w:pPr>
      <w:r>
        <w:t>REG-01 https://www.reco.on.ca/agents-and-brokerages/tresa-explained/tresa-faqs/</w:t>
      </w:r>
    </w:p>
    <w:p>
      <w:pPr>
        <w:pStyle w:val="ListBullet"/>
      </w:pPr>
      <w:r>
        <w:t>REG-02 https://www.ontario.ca/laws/regulation/050579</w:t>
      </w:r>
    </w:p>
    <w:p>
      <w:pPr>
        <w:pStyle w:val="ListBullet"/>
      </w:pPr>
      <w:r>
        <w:t>REG-03 https://www.ontario.ca/page/guide-ontarios-standard-lease</w:t>
      </w:r>
    </w:p>
    <w:p>
      <w:pPr>
        <w:pStyle w:val="ListBullet"/>
      </w:pPr>
      <w:r>
        <w:t>REG-04 https://fintrac-canafe.canada.ca/guidance-directives/recordkeeping-document/record/real-eng</w:t>
      </w:r>
    </w:p>
    <w:p>
      <w:pPr>
        <w:pStyle w:val="ListBullet"/>
      </w:pPr>
      <w:r>
        <w:t>REG-05 https://fintrac-canafe.canada.ca/guidance-directives/client-clientele/client/real-eng</w:t>
      </w:r>
    </w:p>
    <w:p>
      <w:pPr>
        <w:pStyle w:val="ListBullet"/>
      </w:pPr>
      <w:r>
        <w:t>REG-06 https://www.orea.com/</w:t>
      </w:r>
    </w:p>
    <w:sectPr w:rsidR="00FC693F" w:rsidRPr="0006063C" w:rsidSect="00034616">
      <w:pgSz w:w="16848" w:h="11952"/>
      <w:pgMar w:top="1008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