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3D63"/>
          <w:sz w:val="52"/>
        </w:rPr>
        <w:t>BROKO</w:t>
      </w:r>
    </w:p>
    <w:p>
      <w:pPr>
        <w:jc w:val="center"/>
      </w:pPr>
      <w:r>
        <w:rPr>
          <w:b/>
          <w:sz w:val="34"/>
        </w:rPr>
        <w:t>01 — Master Product Requirements Document</w:t>
      </w:r>
    </w:p>
    <w:p>
      <w:pPr>
        <w:jc w:val="center"/>
      </w:pPr>
      <w:r>
        <w:t>Offer &amp; Transaction Management | Version 3.0 | Full module, Buyer Freehold POC first</w:t>
      </w:r>
    </w:p>
    <w:p>
      <w:r>
        <w:t>Final requirements baseline for design | 20 October 2026 | Ontario residential only | Not a certification of legal compliance</w:t>
      </w:r>
    </w:p>
    <w:p>
      <w:pPr>
        <w:pStyle w:val="Heading1"/>
      </w:pPr>
      <w:r>
        <w:t>1. Executive contract and boundaries</w:t>
      </w:r>
    </w:p>
    <w:p>
      <w:r>
        <w:t>Deliver one complete Ontario RESIDENTIAL transaction and offer management MODULE, supporting Buyer, Seller, Landlord, Tenant and role/property/special-case variants. The separate brokerage CRM, full back-office accounting, trust general ledger, SaaS administration and commercial real-estate workflows are excluded. Buyer Freehold is the first engineering POC, not the limit of the final module.</w:t>
      </w:r>
    </w:p>
    <w:p>
      <w:pPr>
        <w:pStyle w:val="Heading1"/>
      </w:pPr>
      <w:r>
        <w:t>2. Confirmed decisions — 30-question reconciliation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7560"/>
        <w:gridCol w:w="7560"/>
      </w:tblGrid>
      <w:tr>
        <w:tc>
          <w:tcPr>
            <w:tcW w:type="dxa" w:w="7560"/>
          </w:tcPr>
          <w:p>
            <w:r>
              <w:t>Answer</w:t>
            </w:r>
          </w:p>
        </w:tc>
        <w:tc>
          <w:tcPr>
            <w:tcW w:type="dxa" w:w="7560"/>
          </w:tcPr>
          <w:p>
            <w:r>
              <w:t>Final approved interpretation</w:t>
            </w:r>
          </w:p>
        </w:tc>
      </w:tr>
      <w:tr>
        <w:tc>
          <w:tcPr>
            <w:tcW w:type="dxa" w:w="7560"/>
          </w:tcPr>
          <w:p>
            <w:r>
              <w:t>Q01</w:t>
            </w:r>
          </w:p>
        </w:tc>
        <w:tc>
          <w:tcPr>
            <w:tcW w:type="dxa" w:w="7560"/>
          </w:tcPr>
          <w:p>
            <w:r>
              <w:t>All four role categories and proposed transaction families</w:t>
            </w:r>
          </w:p>
        </w:tc>
      </w:tr>
      <w:tr>
        <w:tc>
          <w:tcPr>
            <w:tcW w:type="dxa" w:w="7560"/>
          </w:tcPr>
          <w:p>
            <w:r>
              <w:t>Q02</w:t>
            </w:r>
          </w:p>
        </w:tc>
        <w:tc>
          <w:tcPr>
            <w:tcW w:type="dxa" w:w="7560"/>
          </w:tcPr>
          <w:p>
            <w:r>
              <w:t>Buyer Freehold first POC; full module documented</w:t>
            </w:r>
          </w:p>
        </w:tc>
      </w:tr>
      <w:tr>
        <w:tc>
          <w:tcPr>
            <w:tcW w:type="dxa" w:w="7560"/>
          </w:tcPr>
          <w:p>
            <w:r>
              <w:t>Q03</w:t>
            </w:r>
          </w:p>
        </w:tc>
        <w:tc>
          <w:tcPr>
            <w:tcW w:type="dxa" w:w="7560"/>
          </w:tcPr>
          <w:p>
            <w:r>
              <w:t>Design specialty paths; launch scope later</w:t>
            </w:r>
          </w:p>
        </w:tc>
      </w:tr>
      <w:tr>
        <w:tc>
          <w:tcPr>
            <w:tcW w:type="dxa" w:w="7560"/>
          </w:tcPr>
          <w:p>
            <w:r>
              <w:t>Q04</w:t>
            </w:r>
          </w:p>
        </w:tc>
        <w:tc>
          <w:tcPr>
            <w:tcW w:type="dxa" w:w="7560"/>
          </w:tcPr>
          <w:p>
            <w:r>
              <w:t>Same brokerage, both sides with representation/firewalls</w:t>
            </w:r>
          </w:p>
        </w:tc>
      </w:tr>
      <w:tr>
        <w:tc>
          <w:tcPr>
            <w:tcW w:type="dxa" w:w="7560"/>
          </w:tcPr>
          <w:p>
            <w:r>
              <w:t>Q05</w:t>
            </w:r>
          </w:p>
        </w:tc>
        <w:tc>
          <w:tcPr>
            <w:tcW w:type="dxa" w:w="7560"/>
          </w:tcPr>
          <w:p>
            <w:r>
              <w:t>Start via onboarding, listing, offer, accepted deal or import</w:t>
            </w:r>
          </w:p>
        </w:tc>
      </w:tr>
      <w:tr>
        <w:tc>
          <w:tcPr>
            <w:tcW w:type="dxa" w:w="7560"/>
          </w:tcPr>
          <w:p>
            <w:r>
              <w:t>Q06</w:t>
            </w:r>
          </w:p>
        </w:tc>
        <w:tc>
          <w:tcPr>
            <w:tcW w:type="dxa" w:w="7560"/>
          </w:tcPr>
          <w:p>
            <w:r>
              <w:t>Seller and landlord listing-through-completion</w:t>
            </w:r>
          </w:p>
        </w:tc>
      </w:tr>
      <w:tr>
        <w:tc>
          <w:tcPr>
            <w:tcW w:type="dxa" w:w="7560"/>
          </w:tcPr>
          <w:p>
            <w:r>
              <w:t>Q07</w:t>
            </w:r>
          </w:p>
        </w:tc>
        <w:tc>
          <w:tcPr>
            <w:tcW w:type="dxa" w:w="7560"/>
          </w:tcPr>
          <w:p>
            <w:r>
              <w:t>Import and reconstruct work</w:t>
            </w:r>
          </w:p>
        </w:tc>
      </w:tr>
      <w:tr>
        <w:tc>
          <w:tcPr>
            <w:tcW w:type="dxa" w:w="7560"/>
          </w:tcPr>
          <w:p>
            <w:r>
              <w:t>Q08</w:t>
            </w:r>
          </w:p>
        </w:tc>
        <w:tc>
          <w:tcPr>
            <w:tcW w:type="dxa" w:w="7560"/>
          </w:tcPr>
          <w:p>
            <w:r>
              <w:t>Guided common; Freeflow exceptions, shared engine</w:t>
            </w:r>
          </w:p>
        </w:tc>
      </w:tr>
      <w:tr>
        <w:tc>
          <w:tcPr>
            <w:tcW w:type="dxa" w:w="7560"/>
          </w:tcPr>
          <w:p>
            <w:r>
              <w:t>Q09</w:t>
            </w:r>
          </w:p>
        </w:tc>
        <w:tc>
          <w:tcPr>
            <w:tcW w:type="dxa" w:w="7560"/>
          </w:tcPr>
          <w:p>
            <w:r>
              <w:t>Full offer register and competing offers</w:t>
            </w:r>
          </w:p>
        </w:tc>
      </w:tr>
      <w:tr>
        <w:tc>
          <w:tcPr>
            <w:tcW w:type="dxa" w:w="7560"/>
          </w:tcPr>
          <w:p>
            <w:r>
              <w:t>Q10</w:t>
            </w:r>
          </w:p>
        </w:tc>
        <w:tc>
          <w:tcPr>
            <w:tcW w:type="dxa" w:w="7560"/>
          </w:tcPr>
          <w:p>
            <w:r>
              <w:t>Rental applications/screening with human decisions</w:t>
            </w:r>
          </w:p>
        </w:tc>
      </w:tr>
      <w:tr>
        <w:tc>
          <w:tcPr>
            <w:tcW w:type="dxa" w:w="7560"/>
          </w:tcPr>
          <w:p>
            <w:r>
              <w:t>Q11</w:t>
            </w:r>
          </w:p>
        </w:tc>
        <w:tc>
          <w:tcPr>
            <w:tcW w:type="dxa" w:w="7560"/>
          </w:tcPr>
          <w:p>
            <w:r>
              <w:t>Hybrid form governance</w:t>
            </w:r>
          </w:p>
        </w:tc>
      </w:tr>
      <w:tr>
        <w:tc>
          <w:tcPr>
            <w:tcW w:type="dxa" w:w="7560"/>
          </w:tcPr>
          <w:p>
            <w:r>
              <w:t>Q12</w:t>
            </w:r>
          </w:p>
        </w:tc>
        <w:tc>
          <w:tcPr>
            <w:tcW w:type="dxa" w:w="7560"/>
          </w:tcPr>
          <w:p>
            <w:r>
              <w:t>Warn only for unverified latest form; allow all product steps</w:t>
            </w:r>
          </w:p>
        </w:tc>
      </w:tr>
      <w:tr>
        <w:tc>
          <w:tcPr>
            <w:tcW w:type="dxa" w:w="7560"/>
          </w:tcPr>
          <w:p>
            <w:r>
              <w:t>Q13</w:t>
            </w:r>
          </w:p>
        </w:tc>
        <w:tc>
          <w:tcPr>
            <w:tcW w:type="dxa" w:w="7560"/>
          </w:tcPr>
          <w:p>
            <w:r>
              <w:t>Broker-approved custom forms/schedules/clauses</w:t>
            </w:r>
          </w:p>
        </w:tc>
      </w:tr>
      <w:tr>
        <w:tc>
          <w:tcPr>
            <w:tcW w:type="dxa" w:w="7560"/>
          </w:tcPr>
          <w:p>
            <w:r>
              <w:t>Q14</w:t>
            </w:r>
          </w:p>
        </w:tc>
        <w:tc>
          <w:tcPr>
            <w:tcW w:type="dxa" w:w="7560"/>
          </w:tcPr>
          <w:p>
            <w:r>
              <w:t>AI clause suggestions and custom drafts need human approval</w:t>
            </w:r>
          </w:p>
        </w:tc>
      </w:tr>
      <w:tr>
        <w:tc>
          <w:tcPr>
            <w:tcW w:type="dxa" w:w="7560"/>
          </w:tcPr>
          <w:p>
            <w:r>
              <w:t>Q15</w:t>
            </w:r>
          </w:p>
        </w:tc>
        <w:tc>
          <w:tcPr>
            <w:tcW w:type="dxa" w:w="7560"/>
          </w:tcPr>
          <w:p>
            <w:r>
              <w:t>Amendments across executed contract types</w:t>
            </w:r>
          </w:p>
        </w:tc>
      </w:tr>
      <w:tr>
        <w:tc>
          <w:tcPr>
            <w:tcW w:type="dxa" w:w="7560"/>
          </w:tcPr>
          <w:p>
            <w:r>
              <w:t>Q16</w:t>
            </w:r>
          </w:p>
        </w:tc>
        <w:tc>
          <w:tcPr>
            <w:tcW w:type="dxa" w:w="7560"/>
          </w:tcPr>
          <w:p>
            <w:r>
              <w:t>Safe drafting allowed; regulated/final actions gated</w:t>
            </w:r>
          </w:p>
        </w:tc>
      </w:tr>
      <w:tr>
        <w:tc>
          <w:tcPr>
            <w:tcW w:type="dxa" w:w="7560"/>
          </w:tcPr>
          <w:p>
            <w:r>
              <w:t>Q17</w:t>
            </w:r>
          </w:p>
        </w:tc>
        <w:tc>
          <w:tcPr>
            <w:tcW w:type="dxa" w:w="7560"/>
          </w:tcPr>
          <w:p>
            <w:r>
              <w:t>E-sign, external signed upload, standalone signing</w:t>
            </w:r>
          </w:p>
        </w:tc>
      </w:tr>
      <w:tr>
        <w:tc>
          <w:tcPr>
            <w:tcW w:type="dxa" w:w="7560"/>
          </w:tcPr>
          <w:p>
            <w:r>
              <w:t>Q18</w:t>
            </w:r>
          </w:p>
        </w:tc>
        <w:tc>
          <w:tcPr>
            <w:tcW w:type="dxa" w:w="7560"/>
          </w:tcPr>
          <w:p>
            <w:r>
              <w:t>Contract-aware deadline rules, Ontario timezone/holidays</w:t>
            </w:r>
          </w:p>
        </w:tc>
      </w:tr>
      <w:tr>
        <w:tc>
          <w:tcPr>
            <w:tcW w:type="dxa" w:w="7560"/>
          </w:tcPr>
          <w:p>
            <w:r>
              <w:t>Q19</w:t>
            </w:r>
          </w:p>
        </w:tc>
        <w:tc>
          <w:tcPr>
            <w:tcW w:type="dxa" w:w="7560"/>
          </w:tcPr>
          <w:p>
            <w:r>
              <w:t>Full condition lifecycle</w:t>
            </w:r>
          </w:p>
        </w:tc>
      </w:tr>
      <w:tr>
        <w:tc>
          <w:tcPr>
            <w:tcW w:type="dxa" w:w="7560"/>
          </w:tcPr>
          <w:p>
            <w:r>
              <w:t>Q20</w:t>
            </w:r>
          </w:p>
        </w:tc>
        <w:tc>
          <w:tcPr>
            <w:tcW w:type="dxa" w:w="7560"/>
          </w:tcPr>
          <w:p>
            <w:r>
              <w:t>Deposit event/status/evidence only, not general trust ledger</w:t>
            </w:r>
          </w:p>
        </w:tc>
      </w:tr>
      <w:tr>
        <w:tc>
          <w:tcPr>
            <w:tcW w:type="dxa" w:w="7560"/>
          </w:tcPr>
          <w:p>
            <w:r>
              <w:t>Q21</w:t>
            </w:r>
          </w:p>
        </w:tc>
        <w:tc>
          <w:tcPr>
            <w:tcW w:type="dxa" w:w="7560"/>
          </w:tcPr>
          <w:p>
            <w:r>
              <w:t>Track delayed/failed closing and termination</w:t>
            </w:r>
          </w:p>
        </w:tc>
      </w:tr>
      <w:tr>
        <w:tc>
          <w:tcPr>
            <w:tcW w:type="dxa" w:w="7560"/>
          </w:tcPr>
          <w:p>
            <w:r>
              <w:t>Q22</w:t>
            </w:r>
          </w:p>
        </w:tc>
        <w:tc>
          <w:tcPr>
            <w:tcW w:type="dxa" w:w="7560"/>
          </w:tcPr>
          <w:p>
            <w:r>
              <w:t>Verified TCS and structured handoff only</w:t>
            </w:r>
          </w:p>
        </w:tc>
      </w:tr>
      <w:tr>
        <w:tc>
          <w:tcPr>
            <w:tcW w:type="dxa" w:w="7560"/>
          </w:tcPr>
          <w:p>
            <w:r>
              <w:t>Q23</w:t>
            </w:r>
          </w:p>
        </w:tc>
        <w:tc>
          <w:tcPr>
            <w:tcW w:type="dxa" w:w="7560"/>
          </w:tcPr>
          <w:p>
            <w:r>
              <w:t>Source-linked compliance rules with human review</w:t>
            </w:r>
          </w:p>
        </w:tc>
      </w:tr>
      <w:tr>
        <w:tc>
          <w:tcPr>
            <w:tcW w:type="dxa" w:w="7560"/>
          </w:tcPr>
          <w:p>
            <w:r>
              <w:t>Q24</w:t>
            </w:r>
          </w:p>
        </w:tc>
        <w:tc>
          <w:tcPr>
            <w:tcW w:type="dxa" w:w="7560"/>
          </w:tcPr>
          <w:p>
            <w:r>
              <w:t>7-year baseline configurable with holds</w:t>
            </w:r>
          </w:p>
        </w:tc>
      </w:tr>
      <w:tr>
        <w:tc>
          <w:tcPr>
            <w:tcW w:type="dxa" w:w="7560"/>
          </w:tcPr>
          <w:p>
            <w:r>
              <w:t>Q25</w:t>
            </w:r>
          </w:p>
        </w:tc>
        <w:tc>
          <w:tcPr>
            <w:tcW w:type="dxa" w:w="7560"/>
          </w:tcPr>
          <w:p>
            <w:r>
              <w:t>BOR or delegated compliance exception roles</w:t>
            </w:r>
          </w:p>
        </w:tc>
      </w:tr>
      <w:tr>
        <w:tc>
          <w:tcPr>
            <w:tcW w:type="dxa" w:w="7560"/>
          </w:tcPr>
          <w:p>
            <w:r>
              <w:t>Q26</w:t>
            </w:r>
          </w:p>
        </w:tc>
        <w:tc>
          <w:tcPr>
            <w:tcW w:type="dxa" w:w="7560"/>
          </w:tcPr>
          <w:p>
            <w:r>
              <w:t>Strict private data; no unapproved external models</w:t>
            </w:r>
          </w:p>
        </w:tc>
      </w:tr>
      <w:tr>
        <w:tc>
          <w:tcPr>
            <w:tcW w:type="dxa" w:w="7560"/>
          </w:tcPr>
          <w:p>
            <w:r>
              <w:t>Q27</w:t>
            </w:r>
          </w:p>
        </w:tc>
        <w:tc>
          <w:tcPr>
            <w:tcW w:type="dxa" w:w="7560"/>
          </w:tcPr>
          <w:p>
            <w:r>
              <w:t>Forms/e-sign/email-calendar/MLS under licence/storage integrations</w:t>
            </w:r>
          </w:p>
        </w:tc>
      </w:tr>
      <w:tr>
        <w:tc>
          <w:tcPr>
            <w:tcW w:type="dxa" w:w="7560"/>
          </w:tcPr>
          <w:p>
            <w:r>
              <w:t>Q28</w:t>
            </w:r>
          </w:p>
        </w:tc>
        <w:tc>
          <w:tcPr>
            <w:tcW w:type="dxa" w:w="7560"/>
          </w:tcPr>
          <w:p>
            <w:r>
              <w:t>Separate agent and reviewer dashboards</w:t>
            </w:r>
          </w:p>
        </w:tc>
      </w:tr>
      <w:tr>
        <w:tc>
          <w:tcPr>
            <w:tcW w:type="dxa" w:w="7560"/>
          </w:tcPr>
          <w:p>
            <w:r>
              <w:t>Q29</w:t>
            </w:r>
          </w:p>
        </w:tc>
        <w:tc>
          <w:tcPr>
            <w:tcW w:type="dxa" w:w="7560"/>
          </w:tcPr>
          <w:p>
            <w:r>
              <w:t>Responsive mobile browser and notifications</w:t>
            </w:r>
          </w:p>
        </w:tc>
      </w:tr>
      <w:tr>
        <w:tc>
          <w:tcPr>
            <w:tcW w:type="dxa" w:w="7560"/>
          </w:tcPr>
          <w:p>
            <w:r>
              <w:t>Q30</w:t>
            </w:r>
          </w:p>
        </w:tc>
        <w:tc>
          <w:tcPr>
            <w:tcW w:type="dxa" w:w="7560"/>
          </w:tcPr>
          <w:p>
            <w:r>
              <w:t>Full linked PRD, catalogue, matrices, engineering, QA and release plan</w:t>
            </w:r>
          </w:p>
        </w:tc>
      </w:tr>
    </w:tbl>
    <w:p/>
    <w:p>
      <w:pPr>
        <w:pStyle w:val="Heading1"/>
      </w:pPr>
      <w:r>
        <w:t>3. Operating personas and permissions</w:t>
      </w:r>
    </w:p>
    <w:p>
      <w:pPr>
        <w:pStyle w:val="ListBullet"/>
      </w:pPr>
      <w:r>
        <w:t>Agent: create transactions, manage offers, listings, conditions, documents, client communications and TCS submission.</w:t>
      </w:r>
    </w:p>
    <w:p>
      <w:pPr>
        <w:pStyle w:val="ListBullet"/>
      </w:pPr>
      <w:r>
        <w:t>Broker/BOR or delegated compliance: supervise policies, review exceptions, attest approved resolution, access own brokerage records.</w:t>
      </w:r>
    </w:p>
    <w:p>
      <w:pPr>
        <w:pStyle w:val="ListBullet"/>
      </w:pPr>
      <w:r>
        <w:t>Buyer/Seller/Landlord/Tenant client signer: see only assigned and authorized documents/tasks, never opposing-party restricted content.</w:t>
      </w:r>
    </w:p>
    <w:p>
      <w:pPr>
        <w:pStyle w:val="ListBullet"/>
      </w:pPr>
      <w:r>
        <w:t>Brokerage transaction administrator: review files, missing docs and timeline; only delegated action permissions.</w:t>
      </w:r>
    </w:p>
    <w:p>
      <w:pPr>
        <w:pStyle w:val="ListBullet"/>
      </w:pPr>
      <w:r>
        <w:t>External counterparties and signing providers: expiring scoped links and auditable delivery; no general workspace access.</w:t>
      </w:r>
    </w:p>
    <w:p>
      <w:pPr>
        <w:pStyle w:val="Heading1"/>
      </w:pPr>
      <w:r>
        <w:t>4. Transaction taxonomy</w:t>
      </w:r>
    </w:p>
    <w:p>
      <w:pPr>
        <w:pStyle w:val="Heading2"/>
      </w:pPr>
      <w:r>
        <w:t>Buyer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  <w:gridCol w:w="5040"/>
      </w:tblGrid>
      <w:tr>
        <w:tc>
          <w:tcPr>
            <w:tcW w:type="dxa" w:w="5040"/>
          </w:tcPr>
          <w:p>
            <w:r>
              <w:t>ID</w:t>
            </w:r>
          </w:p>
        </w:tc>
        <w:tc>
          <w:tcPr>
            <w:tcW w:type="dxa" w:w="5040"/>
          </w:tcPr>
          <w:p>
            <w:r>
              <w:t>Transaction type</w:t>
            </w:r>
          </w:p>
        </w:tc>
        <w:tc>
          <w:tcPr>
            <w:tcW w:type="dxa" w:w="5040"/>
          </w:tcPr>
          <w:p>
            <w:r>
              <w:t>Planning flag</w:t>
            </w:r>
          </w:p>
        </w:tc>
      </w:tr>
      <w:tr>
        <w:tc>
          <w:tcPr>
            <w:tcW w:type="dxa" w:w="5040"/>
          </w:tcPr>
          <w:p>
            <w:r>
              <w:t>B01</w:t>
            </w:r>
          </w:p>
        </w:tc>
        <w:tc>
          <w:tcPr>
            <w:tcW w:type="dxa" w:w="5040"/>
          </w:tcPr>
          <w:p>
            <w:r>
              <w:t>Freehold resale</w:t>
            </w:r>
          </w:p>
        </w:tc>
        <w:tc>
          <w:tcPr>
            <w:tcW w:type="dxa" w:w="5040"/>
          </w:tcPr>
          <w:p>
            <w:r>
              <w:t>CORE</w:t>
            </w:r>
          </w:p>
        </w:tc>
      </w:tr>
      <w:tr>
        <w:tc>
          <w:tcPr>
            <w:tcW w:type="dxa" w:w="5040"/>
          </w:tcPr>
          <w:p>
            <w:r>
              <w:t>B02</w:t>
            </w:r>
          </w:p>
        </w:tc>
        <w:tc>
          <w:tcPr>
            <w:tcW w:type="dxa" w:w="5040"/>
          </w:tcPr>
          <w:p>
            <w:r>
              <w:t>Condominium resale</w:t>
            </w:r>
          </w:p>
        </w:tc>
        <w:tc>
          <w:tcPr>
            <w:tcW w:type="dxa" w:w="5040"/>
          </w:tcPr>
          <w:p>
            <w:r>
              <w:t>CORE</w:t>
            </w:r>
          </w:p>
        </w:tc>
      </w:tr>
      <w:tr>
        <w:tc>
          <w:tcPr>
            <w:tcW w:type="dxa" w:w="5040"/>
          </w:tcPr>
          <w:p>
            <w:r>
              <w:t>B03</w:t>
            </w:r>
          </w:p>
        </w:tc>
        <w:tc>
          <w:tcPr>
            <w:tcW w:type="dxa" w:w="5040"/>
          </w:tcPr>
          <w:p>
            <w:r>
              <w:t>POTL/common-element condo</w:t>
            </w:r>
          </w:p>
        </w:tc>
        <w:tc>
          <w:tcPr>
            <w:tcW w:type="dxa" w:w="5040"/>
          </w:tcPr>
          <w:p>
            <w:r>
              <w:t>DESIGNED</w:t>
            </w:r>
          </w:p>
        </w:tc>
      </w:tr>
      <w:tr>
        <w:tc>
          <w:tcPr>
            <w:tcW w:type="dxa" w:w="5040"/>
          </w:tcPr>
          <w:p>
            <w:r>
              <w:t>B04</w:t>
            </w:r>
          </w:p>
        </w:tc>
        <w:tc>
          <w:tcPr>
            <w:tcW w:type="dxa" w:w="5040"/>
          </w:tcPr>
          <w:p>
            <w:r>
              <w:t>Builder/new construction</w:t>
            </w:r>
          </w:p>
        </w:tc>
        <w:tc>
          <w:tcPr>
            <w:tcW w:type="dxa" w:w="5040"/>
          </w:tcPr>
          <w:p>
            <w:r>
              <w:t>DESIGNED</w:t>
            </w:r>
          </w:p>
        </w:tc>
      </w:tr>
      <w:tr>
        <w:tc>
          <w:tcPr>
            <w:tcW w:type="dxa" w:w="5040"/>
          </w:tcPr>
          <w:p>
            <w:r>
              <w:t>B05</w:t>
            </w:r>
          </w:p>
        </w:tc>
        <w:tc>
          <w:tcPr>
            <w:tcW w:type="dxa" w:w="5040"/>
          </w:tcPr>
          <w:p>
            <w:r>
              <w:t>Assignment / power of sale / bank-owned</w:t>
            </w:r>
          </w:p>
        </w:tc>
        <w:tc>
          <w:tcPr>
            <w:tcW w:type="dxa" w:w="5040"/>
          </w:tcPr>
          <w:p>
            <w:r>
              <w:t>DESIGNED</w:t>
            </w:r>
          </w:p>
        </w:tc>
      </w:tr>
      <w:tr>
        <w:tc>
          <w:tcPr>
            <w:tcW w:type="dxa" w:w="5040"/>
          </w:tcPr>
          <w:p>
            <w:r>
              <w:t>B06</w:t>
            </w:r>
          </w:p>
        </w:tc>
        <w:tc>
          <w:tcPr>
            <w:tcW w:type="dxa" w:w="5040"/>
          </w:tcPr>
          <w:p>
            <w:r>
              <w:t>Vacant land / rural / farm residential</w:t>
            </w:r>
          </w:p>
        </w:tc>
        <w:tc>
          <w:tcPr>
            <w:tcW w:type="dxa" w:w="5040"/>
          </w:tcPr>
          <w:p>
            <w:r>
              <w:t>DESIGNED</w:t>
            </w:r>
          </w:p>
        </w:tc>
      </w:tr>
      <w:tr>
        <w:tc>
          <w:tcPr>
            <w:tcW w:type="dxa" w:w="5040"/>
          </w:tcPr>
          <w:p>
            <w:r>
              <w:t>B07</w:t>
            </w:r>
          </w:p>
        </w:tc>
        <w:tc>
          <w:tcPr>
            <w:tcW w:type="dxa" w:w="5040"/>
          </w:tcPr>
          <w:p>
            <w:r>
              <w:t>Investment / tenanted residential</w:t>
            </w:r>
          </w:p>
        </w:tc>
        <w:tc>
          <w:tcPr>
            <w:tcW w:type="dxa" w:w="5040"/>
          </w:tcPr>
          <w:p>
            <w:r>
              <w:t>DESIGNED</w:t>
            </w:r>
          </w:p>
        </w:tc>
      </w:tr>
    </w:tbl>
    <w:p/>
    <w:p>
      <w:pPr>
        <w:pStyle w:val="Heading2"/>
      </w:pPr>
      <w:r>
        <w:t>Seller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  <w:gridCol w:w="5040"/>
      </w:tblGrid>
      <w:tr>
        <w:tc>
          <w:tcPr>
            <w:tcW w:type="dxa" w:w="5040"/>
          </w:tcPr>
          <w:p>
            <w:r>
              <w:t>ID</w:t>
            </w:r>
          </w:p>
        </w:tc>
        <w:tc>
          <w:tcPr>
            <w:tcW w:type="dxa" w:w="5040"/>
          </w:tcPr>
          <w:p>
            <w:r>
              <w:t>Transaction type</w:t>
            </w:r>
          </w:p>
        </w:tc>
        <w:tc>
          <w:tcPr>
            <w:tcW w:type="dxa" w:w="5040"/>
          </w:tcPr>
          <w:p>
            <w:r>
              <w:t>Planning flag</w:t>
            </w:r>
          </w:p>
        </w:tc>
      </w:tr>
      <w:tr>
        <w:tc>
          <w:tcPr>
            <w:tcW w:type="dxa" w:w="5040"/>
          </w:tcPr>
          <w:p>
            <w:r>
              <w:t>S01</w:t>
            </w:r>
          </w:p>
        </w:tc>
        <w:tc>
          <w:tcPr>
            <w:tcW w:type="dxa" w:w="5040"/>
          </w:tcPr>
          <w:p>
            <w:r>
              <w:t>Freehold resale listing/sale</w:t>
            </w:r>
          </w:p>
        </w:tc>
        <w:tc>
          <w:tcPr>
            <w:tcW w:type="dxa" w:w="5040"/>
          </w:tcPr>
          <w:p>
            <w:r>
              <w:t>CORE</w:t>
            </w:r>
          </w:p>
        </w:tc>
      </w:tr>
      <w:tr>
        <w:tc>
          <w:tcPr>
            <w:tcW w:type="dxa" w:w="5040"/>
          </w:tcPr>
          <w:p>
            <w:r>
              <w:t>S02</w:t>
            </w:r>
          </w:p>
        </w:tc>
        <w:tc>
          <w:tcPr>
            <w:tcW w:type="dxa" w:w="5040"/>
          </w:tcPr>
          <w:p>
            <w:r>
              <w:t>Condominium resale listing/sale</w:t>
            </w:r>
          </w:p>
        </w:tc>
        <w:tc>
          <w:tcPr>
            <w:tcW w:type="dxa" w:w="5040"/>
          </w:tcPr>
          <w:p>
            <w:r>
              <w:t>CORE</w:t>
            </w:r>
          </w:p>
        </w:tc>
      </w:tr>
      <w:tr>
        <w:tc>
          <w:tcPr>
            <w:tcW w:type="dxa" w:w="5040"/>
          </w:tcPr>
          <w:p>
            <w:r>
              <w:t>S03</w:t>
            </w:r>
          </w:p>
        </w:tc>
        <w:tc>
          <w:tcPr>
            <w:tcW w:type="dxa" w:w="5040"/>
          </w:tcPr>
          <w:p>
            <w:r>
              <w:t>POTL/common-element condo</w:t>
            </w:r>
          </w:p>
        </w:tc>
        <w:tc>
          <w:tcPr>
            <w:tcW w:type="dxa" w:w="5040"/>
          </w:tcPr>
          <w:p>
            <w:r>
              <w:t>DESIGNED</w:t>
            </w:r>
          </w:p>
        </w:tc>
      </w:tr>
      <w:tr>
        <w:tc>
          <w:tcPr>
            <w:tcW w:type="dxa" w:w="5040"/>
          </w:tcPr>
          <w:p>
            <w:r>
              <w:t>S04</w:t>
            </w:r>
          </w:p>
        </w:tc>
        <w:tc>
          <w:tcPr>
            <w:tcW w:type="dxa" w:w="5040"/>
          </w:tcPr>
          <w:p>
            <w:r>
              <w:t>Assignment / bank-owned / power of sale</w:t>
            </w:r>
          </w:p>
        </w:tc>
        <w:tc>
          <w:tcPr>
            <w:tcW w:type="dxa" w:w="5040"/>
          </w:tcPr>
          <w:p>
            <w:r>
              <w:t>DESIGNED</w:t>
            </w:r>
          </w:p>
        </w:tc>
      </w:tr>
      <w:tr>
        <w:tc>
          <w:tcPr>
            <w:tcW w:type="dxa" w:w="5040"/>
          </w:tcPr>
          <w:p>
            <w:r>
              <w:t>S05</w:t>
            </w:r>
          </w:p>
        </w:tc>
        <w:tc>
          <w:tcPr>
            <w:tcW w:type="dxa" w:w="5040"/>
          </w:tcPr>
          <w:p>
            <w:r>
              <w:t>Vacant land/rural/farm residential</w:t>
            </w:r>
          </w:p>
        </w:tc>
        <w:tc>
          <w:tcPr>
            <w:tcW w:type="dxa" w:w="5040"/>
          </w:tcPr>
          <w:p>
            <w:r>
              <w:t>DESIGNED</w:t>
            </w:r>
          </w:p>
        </w:tc>
      </w:tr>
      <w:tr>
        <w:tc>
          <w:tcPr>
            <w:tcW w:type="dxa" w:w="5040"/>
          </w:tcPr>
          <w:p>
            <w:r>
              <w:t>S06</w:t>
            </w:r>
          </w:p>
        </w:tc>
        <w:tc>
          <w:tcPr>
            <w:tcW w:type="dxa" w:w="5040"/>
          </w:tcPr>
          <w:p>
            <w:r>
              <w:t>Investment / occupied residential</w:t>
            </w:r>
          </w:p>
        </w:tc>
        <w:tc>
          <w:tcPr>
            <w:tcW w:type="dxa" w:w="5040"/>
          </w:tcPr>
          <w:p>
            <w:r>
              <w:t>DESIGNED</w:t>
            </w:r>
          </w:p>
        </w:tc>
      </w:tr>
    </w:tbl>
    <w:p/>
    <w:p>
      <w:pPr>
        <w:pStyle w:val="Heading2"/>
      </w:pPr>
      <w:r>
        <w:t>Landlord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  <w:gridCol w:w="5040"/>
      </w:tblGrid>
      <w:tr>
        <w:tc>
          <w:tcPr>
            <w:tcW w:type="dxa" w:w="5040"/>
          </w:tcPr>
          <w:p>
            <w:r>
              <w:t>ID</w:t>
            </w:r>
          </w:p>
        </w:tc>
        <w:tc>
          <w:tcPr>
            <w:tcW w:type="dxa" w:w="5040"/>
          </w:tcPr>
          <w:p>
            <w:r>
              <w:t>Transaction type</w:t>
            </w:r>
          </w:p>
        </w:tc>
        <w:tc>
          <w:tcPr>
            <w:tcW w:type="dxa" w:w="5040"/>
          </w:tcPr>
          <w:p>
            <w:r>
              <w:t>Planning flag</w:t>
            </w:r>
          </w:p>
        </w:tc>
      </w:tr>
      <w:tr>
        <w:tc>
          <w:tcPr>
            <w:tcW w:type="dxa" w:w="5040"/>
          </w:tcPr>
          <w:p>
            <w:r>
              <w:t>L01</w:t>
            </w:r>
          </w:p>
        </w:tc>
        <w:tc>
          <w:tcPr>
            <w:tcW w:type="dxa" w:w="5040"/>
          </w:tcPr>
          <w:p>
            <w:r>
              <w:t>Condo rental</w:t>
            </w:r>
          </w:p>
        </w:tc>
        <w:tc>
          <w:tcPr>
            <w:tcW w:type="dxa" w:w="5040"/>
          </w:tcPr>
          <w:p>
            <w:r>
              <w:t>CORE</w:t>
            </w:r>
          </w:p>
        </w:tc>
      </w:tr>
      <w:tr>
        <w:tc>
          <w:tcPr>
            <w:tcW w:type="dxa" w:w="5040"/>
          </w:tcPr>
          <w:p>
            <w:r>
              <w:t>L02</w:t>
            </w:r>
          </w:p>
        </w:tc>
        <w:tc>
          <w:tcPr>
            <w:tcW w:type="dxa" w:w="5040"/>
          </w:tcPr>
          <w:p>
            <w:r>
              <w:t>Freehold house rental</w:t>
            </w:r>
          </w:p>
        </w:tc>
        <w:tc>
          <w:tcPr>
            <w:tcW w:type="dxa" w:w="5040"/>
          </w:tcPr>
          <w:p>
            <w:r>
              <w:t>CORE</w:t>
            </w:r>
          </w:p>
        </w:tc>
      </w:tr>
      <w:tr>
        <w:tc>
          <w:tcPr>
            <w:tcW w:type="dxa" w:w="5040"/>
          </w:tcPr>
          <w:p>
            <w:r>
              <w:t>L03</w:t>
            </w:r>
          </w:p>
        </w:tc>
        <w:tc>
          <w:tcPr>
            <w:tcW w:type="dxa" w:w="5040"/>
          </w:tcPr>
          <w:p>
            <w:r>
              <w:t>Townhouse / residential multi-unit</w:t>
            </w:r>
          </w:p>
        </w:tc>
        <w:tc>
          <w:tcPr>
            <w:tcW w:type="dxa" w:w="5040"/>
          </w:tcPr>
          <w:p>
            <w:r>
              <w:t>CORE</w:t>
            </w:r>
          </w:p>
        </w:tc>
      </w:tr>
      <w:tr>
        <w:tc>
          <w:tcPr>
            <w:tcW w:type="dxa" w:w="5040"/>
          </w:tcPr>
          <w:p>
            <w:r>
              <w:t>L04</w:t>
            </w:r>
          </w:p>
        </w:tc>
        <w:tc>
          <w:tcPr>
            <w:tcW w:type="dxa" w:w="5040"/>
          </w:tcPr>
          <w:p>
            <w:r>
              <w:t>Secondary suite / basement apartment</w:t>
            </w:r>
          </w:p>
        </w:tc>
        <w:tc>
          <w:tcPr>
            <w:tcW w:type="dxa" w:w="5040"/>
          </w:tcPr>
          <w:p>
            <w:r>
              <w:t>DESIGNED</w:t>
            </w:r>
          </w:p>
        </w:tc>
      </w:tr>
      <w:tr>
        <w:tc>
          <w:tcPr>
            <w:tcW w:type="dxa" w:w="5040"/>
          </w:tcPr>
          <w:p>
            <w:r>
              <w:t>L05</w:t>
            </w:r>
          </w:p>
        </w:tc>
        <w:tc>
          <w:tcPr>
            <w:tcW w:type="dxa" w:w="5040"/>
          </w:tcPr>
          <w:p>
            <w:r>
              <w:t>Student / room rental</w:t>
            </w:r>
          </w:p>
        </w:tc>
        <w:tc>
          <w:tcPr>
            <w:tcW w:type="dxa" w:w="5040"/>
          </w:tcPr>
          <w:p>
            <w:r>
              <w:t>DESIGNED</w:t>
            </w:r>
          </w:p>
        </w:tc>
      </w:tr>
      <w:tr>
        <w:tc>
          <w:tcPr>
            <w:tcW w:type="dxa" w:w="5040"/>
          </w:tcPr>
          <w:p>
            <w:r>
              <w:t>L06</w:t>
            </w:r>
          </w:p>
        </w:tc>
        <w:tc>
          <w:tcPr>
            <w:tcW w:type="dxa" w:w="5040"/>
          </w:tcPr>
          <w:p>
            <w:r>
              <w:t>Lease renewal/extension/replacement</w:t>
            </w:r>
          </w:p>
        </w:tc>
        <w:tc>
          <w:tcPr>
            <w:tcW w:type="dxa" w:w="5040"/>
          </w:tcPr>
          <w:p>
            <w:r>
              <w:t>DESIGNED</w:t>
            </w:r>
          </w:p>
        </w:tc>
      </w:tr>
    </w:tbl>
    <w:p/>
    <w:p>
      <w:pPr>
        <w:pStyle w:val="Heading2"/>
      </w:pPr>
      <w:r>
        <w:t>Tenant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  <w:gridCol w:w="5040"/>
      </w:tblGrid>
      <w:tr>
        <w:tc>
          <w:tcPr>
            <w:tcW w:type="dxa" w:w="5040"/>
          </w:tcPr>
          <w:p>
            <w:r>
              <w:t>ID</w:t>
            </w:r>
          </w:p>
        </w:tc>
        <w:tc>
          <w:tcPr>
            <w:tcW w:type="dxa" w:w="5040"/>
          </w:tcPr>
          <w:p>
            <w:r>
              <w:t>Transaction type</w:t>
            </w:r>
          </w:p>
        </w:tc>
        <w:tc>
          <w:tcPr>
            <w:tcW w:type="dxa" w:w="5040"/>
          </w:tcPr>
          <w:p>
            <w:r>
              <w:t>Planning flag</w:t>
            </w:r>
          </w:p>
        </w:tc>
      </w:tr>
      <w:tr>
        <w:tc>
          <w:tcPr>
            <w:tcW w:type="dxa" w:w="5040"/>
          </w:tcPr>
          <w:p>
            <w:r>
              <w:t>T01</w:t>
            </w:r>
          </w:p>
        </w:tc>
        <w:tc>
          <w:tcPr>
            <w:tcW w:type="dxa" w:w="5040"/>
          </w:tcPr>
          <w:p>
            <w:r>
              <w:t>Condo rental</w:t>
            </w:r>
          </w:p>
        </w:tc>
        <w:tc>
          <w:tcPr>
            <w:tcW w:type="dxa" w:w="5040"/>
          </w:tcPr>
          <w:p>
            <w:r>
              <w:t>CORE</w:t>
            </w:r>
          </w:p>
        </w:tc>
      </w:tr>
      <w:tr>
        <w:tc>
          <w:tcPr>
            <w:tcW w:type="dxa" w:w="5040"/>
          </w:tcPr>
          <w:p>
            <w:r>
              <w:t>T02</w:t>
            </w:r>
          </w:p>
        </w:tc>
        <w:tc>
          <w:tcPr>
            <w:tcW w:type="dxa" w:w="5040"/>
          </w:tcPr>
          <w:p>
            <w:r>
              <w:t>House rental</w:t>
            </w:r>
          </w:p>
        </w:tc>
        <w:tc>
          <w:tcPr>
            <w:tcW w:type="dxa" w:w="5040"/>
          </w:tcPr>
          <w:p>
            <w:r>
              <w:t>CORE</w:t>
            </w:r>
          </w:p>
        </w:tc>
      </w:tr>
      <w:tr>
        <w:tc>
          <w:tcPr>
            <w:tcW w:type="dxa" w:w="5040"/>
          </w:tcPr>
          <w:p>
            <w:r>
              <w:t>T03</w:t>
            </w:r>
          </w:p>
        </w:tc>
        <w:tc>
          <w:tcPr>
            <w:tcW w:type="dxa" w:w="5040"/>
          </w:tcPr>
          <w:p>
            <w:r>
              <w:t>Townhouse / multi-unit residential</w:t>
            </w:r>
          </w:p>
        </w:tc>
        <w:tc>
          <w:tcPr>
            <w:tcW w:type="dxa" w:w="5040"/>
          </w:tcPr>
          <w:p>
            <w:r>
              <w:t>CORE</w:t>
            </w:r>
          </w:p>
        </w:tc>
      </w:tr>
      <w:tr>
        <w:tc>
          <w:tcPr>
            <w:tcW w:type="dxa" w:w="5040"/>
          </w:tcPr>
          <w:p>
            <w:r>
              <w:t>T04</w:t>
            </w:r>
          </w:p>
        </w:tc>
        <w:tc>
          <w:tcPr>
            <w:tcW w:type="dxa" w:w="5040"/>
          </w:tcPr>
          <w:p>
            <w:r>
              <w:t>Secondary suite / basement apartment</w:t>
            </w:r>
          </w:p>
        </w:tc>
        <w:tc>
          <w:tcPr>
            <w:tcW w:type="dxa" w:w="5040"/>
          </w:tcPr>
          <w:p>
            <w:r>
              <w:t>DESIGNED</w:t>
            </w:r>
          </w:p>
        </w:tc>
      </w:tr>
      <w:tr>
        <w:tc>
          <w:tcPr>
            <w:tcW w:type="dxa" w:w="5040"/>
          </w:tcPr>
          <w:p>
            <w:r>
              <w:t>T05</w:t>
            </w:r>
          </w:p>
        </w:tc>
        <w:tc>
          <w:tcPr>
            <w:tcW w:type="dxa" w:w="5040"/>
          </w:tcPr>
          <w:p>
            <w:r>
              <w:t>Student / room rental</w:t>
            </w:r>
          </w:p>
        </w:tc>
        <w:tc>
          <w:tcPr>
            <w:tcW w:type="dxa" w:w="5040"/>
          </w:tcPr>
          <w:p>
            <w:r>
              <w:t>DESIGNED</w:t>
            </w:r>
          </w:p>
        </w:tc>
      </w:tr>
      <w:tr>
        <w:tc>
          <w:tcPr>
            <w:tcW w:type="dxa" w:w="5040"/>
          </w:tcPr>
          <w:p>
            <w:r>
              <w:t>T06</w:t>
            </w:r>
          </w:p>
        </w:tc>
        <w:tc>
          <w:tcPr>
            <w:tcW w:type="dxa" w:w="5040"/>
          </w:tcPr>
          <w:p>
            <w:r>
              <w:t>Lease renewal / assignment / transfer</w:t>
            </w:r>
          </w:p>
        </w:tc>
        <w:tc>
          <w:tcPr>
            <w:tcW w:type="dxa" w:w="5040"/>
          </w:tcPr>
          <w:p>
            <w:r>
              <w:t>DESIGNED</w:t>
            </w:r>
          </w:p>
        </w:tc>
      </w:tr>
    </w:tbl>
    <w:p/>
    <w:p>
      <w:r>
        <w:t>CORE indicates target common-case market module coverage; DESIGNED means an extensible specialty workflow specification requiring explicit regulatory/form verification and release selection. POC only implements Buyer Freehold to full depth.</w:t>
      </w:r>
    </w:p>
    <w:p>
      <w:pPr>
        <w:pStyle w:val="Heading1"/>
      </w:pPr>
      <w:r>
        <w:t>5. Scope, modules and lifecycle</w:t>
      </w:r>
    </w:p>
    <w:p>
      <w:pPr>
        <w:pStyle w:val="Heading2"/>
      </w:pPr>
      <w:r>
        <w:t>Purchase resale</w:t>
      </w:r>
    </w:p>
    <w:p>
      <w:r>
        <w:t>onboard → representation → property due diligence → prepare APS/schedules → validate/sign/present → counter/accept → conditions → firm → deposit/closing → record completion → TCS handoff → retain</w:t>
      </w:r>
    </w:p>
    <w:p>
      <w:pPr>
        <w:pStyle w:val="Heading2"/>
      </w:pPr>
      <w:r>
        <w:t>Sale listing</w:t>
      </w:r>
    </w:p>
    <w:p>
      <w:r>
        <w:t>onboard seller → listing representation &amp; listing disclosures → prepare listing records/schedules → list and manage showings/offers → register/present multiple offers → counters/acceptance → conditions → firm → deposit/closing → TCS handoff → retain</w:t>
      </w:r>
    </w:p>
    <w:p>
      <w:pPr>
        <w:pStyle w:val="Heading2"/>
      </w:pPr>
      <w:r>
        <w:t>Residential landlord</w:t>
      </w:r>
    </w:p>
    <w:p>
      <w:r>
        <w:t>onboard landlord → listing representation → rental listing → applications/screening under privacy and human decision → negotiate/offer-to-lease → applicable standard lease → deposits/keys/occupancy handover → archive/handoff</w:t>
      </w:r>
    </w:p>
    <w:p>
      <w:pPr>
        <w:pStyle w:val="Heading2"/>
      </w:pPr>
      <w:r>
        <w:t>Residential tenant</w:t>
      </w:r>
    </w:p>
    <w:p>
      <w:r>
        <w:t>onboard tenant → representation → search/rental application → permitted screening docs → offer-to-lease → negotiate/sign → applicable standard lease → deposits/keys/move-in → archive/handoff</w:t>
      </w:r>
    </w:p>
    <w:p>
      <w:pPr>
        <w:pStyle w:val="Heading2"/>
      </w:pPr>
      <w:r>
        <w:t>Builder / assignment / bank-owned</w:t>
      </w:r>
    </w:p>
    <w:p>
      <w:r>
        <w:t>classify specialty transaction → request supplied agreement/schedules → compare statutory/brokerage rules → human review → signing and milestone/deposit tracking → change/closing/termination → audit and handoff</w:t>
      </w:r>
    </w:p>
    <w:p>
      <w:pPr>
        <w:pStyle w:val="Heading1"/>
      </w:pPr>
      <w:r>
        <w:t>6. Numbered functional requirements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t>ID</w:t>
            </w:r>
          </w:p>
        </w:tc>
        <w:tc>
          <w:tcPr>
            <w:tcW w:type="dxa" w:w="3024"/>
          </w:tcPr>
          <w:p>
            <w:r>
              <w:t>Subsystem</w:t>
            </w:r>
          </w:p>
        </w:tc>
        <w:tc>
          <w:tcPr>
            <w:tcW w:type="dxa" w:w="3024"/>
          </w:tcPr>
          <w:p>
            <w:r>
              <w:t>Required behavior</w:t>
            </w:r>
          </w:p>
        </w:tc>
        <w:tc>
          <w:tcPr>
            <w:tcW w:type="dxa" w:w="3024"/>
          </w:tcPr>
          <w:p>
            <w:r>
              <w:t>Priority</w:t>
            </w:r>
          </w:p>
        </w:tc>
        <w:tc>
          <w:tcPr>
            <w:tcW w:type="dxa" w:w="3024"/>
          </w:tcPr>
          <w:p>
            <w:r>
              <w:t>Decision links</w:t>
            </w:r>
          </w:p>
        </w:tc>
      </w:tr>
      <w:tr>
        <w:tc>
          <w:tcPr>
            <w:tcW w:type="dxa" w:w="3024"/>
          </w:tcPr>
          <w:p>
            <w:r>
              <w:t>TM-001</w:t>
            </w:r>
          </w:p>
        </w:tc>
        <w:tc>
          <w:tcPr>
            <w:tcW w:type="dxa" w:w="3024"/>
          </w:tcPr>
          <w:p>
            <w:r>
              <w:t>Core</w:t>
            </w:r>
          </w:p>
        </w:tc>
        <w:tc>
          <w:tcPr>
            <w:tcW w:type="dxa" w:w="3024"/>
          </w:tcPr>
          <w:p>
            <w:r>
              <w:t>Create/link transaction from onboarding, listing, offer, accepted deal or import; preserve source provenance.</w:t>
            </w:r>
          </w:p>
        </w:tc>
        <w:tc>
          <w:tcPr>
            <w:tcW w:type="dxa" w:w="3024"/>
          </w:tcPr>
          <w:p>
            <w:r>
              <w:t>P0</w:t>
            </w:r>
          </w:p>
        </w:tc>
        <w:tc>
          <w:tcPr>
            <w:tcW w:type="dxa" w:w="3024"/>
          </w:tcPr>
          <w:p>
            <w:r>
              <w:t>Q05,Q07</w:t>
            </w:r>
          </w:p>
        </w:tc>
      </w:tr>
      <w:tr>
        <w:tc>
          <w:tcPr>
            <w:tcW w:type="dxa" w:w="3024"/>
          </w:tcPr>
          <w:p>
            <w:r>
              <w:t>TM-002</w:t>
            </w:r>
          </w:p>
        </w:tc>
        <w:tc>
          <w:tcPr>
            <w:tcW w:type="dxa" w:w="3024"/>
          </w:tcPr>
          <w:p>
            <w:r>
              <w:t>Core</w:t>
            </w:r>
          </w:p>
        </w:tc>
        <w:tc>
          <w:tcPr>
            <w:tcW w:type="dxa" w:w="3024"/>
          </w:tcPr>
          <w:p>
            <w:r>
              <w:t>Classify role, property type, transaction family, representation, parties, source and specialty flags.</w:t>
            </w:r>
          </w:p>
        </w:tc>
        <w:tc>
          <w:tcPr>
            <w:tcW w:type="dxa" w:w="3024"/>
          </w:tcPr>
          <w:p>
            <w:r>
              <w:t>P0</w:t>
            </w:r>
          </w:p>
        </w:tc>
        <w:tc>
          <w:tcPr>
            <w:tcW w:type="dxa" w:w="3024"/>
          </w:tcPr>
          <w:p>
            <w:r>
              <w:t>Q01,Q04</w:t>
            </w:r>
          </w:p>
        </w:tc>
      </w:tr>
      <w:tr>
        <w:tc>
          <w:tcPr>
            <w:tcW w:type="dxa" w:w="3024"/>
          </w:tcPr>
          <w:p>
            <w:r>
              <w:t>TM-003</w:t>
            </w:r>
          </w:p>
        </w:tc>
        <w:tc>
          <w:tcPr>
            <w:tcW w:type="dxa" w:w="3024"/>
          </w:tcPr>
          <w:p>
            <w:r>
              <w:t>Workflow</w:t>
            </w:r>
          </w:p>
        </w:tc>
        <w:tc>
          <w:tcPr>
            <w:tcW w:type="dxa" w:w="3024"/>
          </w:tcPr>
          <w:p>
            <w:r>
              <w:t>Guided mode for common workflows, Freeflow for exceptions; one shared rule/dependency engine; neither mode bypasses substantive checks.</w:t>
            </w:r>
          </w:p>
        </w:tc>
        <w:tc>
          <w:tcPr>
            <w:tcW w:type="dxa" w:w="3024"/>
          </w:tcPr>
          <w:p>
            <w:r>
              <w:t>P0</w:t>
            </w:r>
          </w:p>
        </w:tc>
        <w:tc>
          <w:tcPr>
            <w:tcW w:type="dxa" w:w="3024"/>
          </w:tcPr>
          <w:p>
            <w:r>
              <w:t>Q08,Q16</w:t>
            </w:r>
          </w:p>
        </w:tc>
      </w:tr>
      <w:tr>
        <w:tc>
          <w:tcPr>
            <w:tcW w:type="dxa" w:w="3024"/>
          </w:tcPr>
          <w:p>
            <w:r>
              <w:t>TM-004</w:t>
            </w:r>
          </w:p>
        </w:tc>
        <w:tc>
          <w:tcPr>
            <w:tcW w:type="dxa" w:w="3024"/>
          </w:tcPr>
          <w:p>
            <w:r>
              <w:t>Workflow</w:t>
            </w:r>
          </w:p>
        </w:tc>
        <w:tc>
          <w:tcPr>
            <w:tcW w:type="dxa" w:w="3024"/>
          </w:tcPr>
          <w:p>
            <w:r>
              <w:t>Import externally completed documents, reconstruct events and validate evidence before satisfying dependencies.</w:t>
            </w:r>
          </w:p>
        </w:tc>
        <w:tc>
          <w:tcPr>
            <w:tcW w:type="dxa" w:w="3024"/>
          </w:tcPr>
          <w:p>
            <w:r>
              <w:t>P0</w:t>
            </w:r>
          </w:p>
        </w:tc>
        <w:tc>
          <w:tcPr>
            <w:tcW w:type="dxa" w:w="3024"/>
          </w:tcPr>
          <w:p>
            <w:r>
              <w:t>Q07</w:t>
            </w:r>
          </w:p>
        </w:tc>
      </w:tr>
      <w:tr>
        <w:tc>
          <w:tcPr>
            <w:tcW w:type="dxa" w:w="3024"/>
          </w:tcPr>
          <w:p>
            <w:r>
              <w:t>TM-005</w:t>
            </w:r>
          </w:p>
        </w:tc>
        <w:tc>
          <w:tcPr>
            <w:tcW w:type="dxa" w:w="3024"/>
          </w:tcPr>
          <w:p>
            <w:r>
              <w:t>Forms</w:t>
            </w:r>
          </w:p>
        </w:tc>
        <w:tc>
          <w:tcPr>
            <w:tcW w:type="dxa" w:w="3024"/>
          </w:tcPr>
          <w:p>
            <w:r>
              <w:t>Hybrid master plus brokerage-specific approved form library; capture purpose, trigger, version, source, applicability, dependencies and signature map.</w:t>
            </w:r>
          </w:p>
        </w:tc>
        <w:tc>
          <w:tcPr>
            <w:tcW w:type="dxa" w:w="3024"/>
          </w:tcPr>
          <w:p>
            <w:r>
              <w:t>P0</w:t>
            </w:r>
          </w:p>
        </w:tc>
        <w:tc>
          <w:tcPr>
            <w:tcW w:type="dxa" w:w="3024"/>
          </w:tcPr>
          <w:p>
            <w:r>
              <w:t>Q11,Q13</w:t>
            </w:r>
          </w:p>
        </w:tc>
      </w:tr>
      <w:tr>
        <w:tc>
          <w:tcPr>
            <w:tcW w:type="dxa" w:w="3024"/>
          </w:tcPr>
          <w:p>
            <w:r>
              <w:t>TM-006</w:t>
            </w:r>
          </w:p>
        </w:tc>
        <w:tc>
          <w:tcPr>
            <w:tcW w:type="dxa" w:w="3024"/>
          </w:tcPr>
          <w:p>
            <w:r>
              <w:t>Forms</w:t>
            </w:r>
          </w:p>
        </w:tc>
        <w:tc>
          <w:tcPr>
            <w:tcW w:type="dxa" w:w="3024"/>
          </w:tcPr>
          <w:p>
            <w:r>
              <w:t>If latest version unverified, display persistent warning, alert BOR and allow navigation/action; do not label as verified or automatically attest compliance.</w:t>
            </w:r>
          </w:p>
        </w:tc>
        <w:tc>
          <w:tcPr>
            <w:tcW w:type="dxa" w:w="3024"/>
          </w:tcPr>
          <w:p>
            <w:r>
              <w:t>P0</w:t>
            </w:r>
          </w:p>
        </w:tc>
        <w:tc>
          <w:tcPr>
            <w:tcW w:type="dxa" w:w="3024"/>
          </w:tcPr>
          <w:p>
            <w:r>
              <w:t>Q12</w:t>
            </w:r>
          </w:p>
        </w:tc>
      </w:tr>
      <w:tr>
        <w:tc>
          <w:tcPr>
            <w:tcW w:type="dxa" w:w="3024"/>
          </w:tcPr>
          <w:p>
            <w:r>
              <w:t>TM-007</w:t>
            </w:r>
          </w:p>
        </w:tc>
        <w:tc>
          <w:tcPr>
            <w:tcW w:type="dxa" w:w="3024"/>
          </w:tcPr>
          <w:p>
            <w:r>
              <w:t>Forms</w:t>
            </w:r>
          </w:p>
        </w:tc>
        <w:tc>
          <w:tcPr>
            <w:tcW w:type="dxa" w:w="3024"/>
          </w:tcPr>
          <w:p>
            <w:r>
              <w:t>Allow form creation/upload and digital field mapping; validate required data, signatures, role and transaction association.</w:t>
            </w:r>
          </w:p>
        </w:tc>
        <w:tc>
          <w:tcPr>
            <w:tcW w:type="dxa" w:w="3024"/>
          </w:tcPr>
          <w:p>
            <w:r>
              <w:t>P0</w:t>
            </w:r>
          </w:p>
        </w:tc>
        <w:tc>
          <w:tcPr>
            <w:tcW w:type="dxa" w:w="3024"/>
          </w:tcPr>
          <w:p>
            <w:r>
              <w:t>Q11,Q13</w:t>
            </w:r>
          </w:p>
        </w:tc>
      </w:tr>
      <w:tr>
        <w:tc>
          <w:tcPr>
            <w:tcW w:type="dxa" w:w="3024"/>
          </w:tcPr>
          <w:p>
            <w:r>
              <w:t>TM-008</w:t>
            </w:r>
          </w:p>
        </w:tc>
        <w:tc>
          <w:tcPr>
            <w:tcW w:type="dxa" w:w="3024"/>
          </w:tcPr>
          <w:p>
            <w:r>
              <w:t>Representation</w:t>
            </w:r>
          </w:p>
        </w:tc>
        <w:tc>
          <w:tcPr>
            <w:tcW w:type="dxa" w:w="3024"/>
          </w:tcPr>
          <w:p>
            <w:r>
              <w:t>Support designated/brokerage representation, self-represented parties and multiple representation, including independent confidential client workspaces.</w:t>
            </w:r>
          </w:p>
        </w:tc>
        <w:tc>
          <w:tcPr>
            <w:tcW w:type="dxa" w:w="3024"/>
          </w:tcPr>
          <w:p>
            <w:r>
              <w:t>P0</w:t>
            </w:r>
          </w:p>
        </w:tc>
        <w:tc>
          <w:tcPr>
            <w:tcW w:type="dxa" w:w="3024"/>
          </w:tcPr>
          <w:p>
            <w:r>
              <w:t>Q04,Q23</w:t>
            </w:r>
          </w:p>
        </w:tc>
      </w:tr>
      <w:tr>
        <w:tc>
          <w:tcPr>
            <w:tcW w:type="dxa" w:w="3024"/>
          </w:tcPr>
          <w:p>
            <w:r>
              <w:t>TM-009</w:t>
            </w:r>
          </w:p>
        </w:tc>
        <w:tc>
          <w:tcPr>
            <w:tcW w:type="dxa" w:w="3024"/>
          </w:tcPr>
          <w:p>
            <w:r>
              <w:t>Disclosure</w:t>
            </w:r>
          </w:p>
        </w:tc>
        <w:tc>
          <w:tcPr>
            <w:tcW w:type="dxa" w:w="3024"/>
          </w:tcPr>
          <w:p>
            <w:r>
              <w:t>Track RECO Information Guide and representation disclosure timing; missing statutory evidence remains unresolved even where workflow continues.</w:t>
            </w:r>
          </w:p>
        </w:tc>
        <w:tc>
          <w:tcPr>
            <w:tcW w:type="dxa" w:w="3024"/>
          </w:tcPr>
          <w:p>
            <w:r>
              <w:t>P0</w:t>
            </w:r>
          </w:p>
        </w:tc>
        <w:tc>
          <w:tcPr>
            <w:tcW w:type="dxa" w:w="3024"/>
          </w:tcPr>
          <w:p>
            <w:r>
              <w:t>Q16,Q23</w:t>
            </w:r>
          </w:p>
        </w:tc>
      </w:tr>
      <w:tr>
        <w:tc>
          <w:tcPr>
            <w:tcW w:type="dxa" w:w="3024"/>
          </w:tcPr>
          <w:p>
            <w:r>
              <w:t>TM-010</w:t>
            </w:r>
          </w:p>
        </w:tc>
        <w:tc>
          <w:tcPr>
            <w:tcW w:type="dxa" w:w="3024"/>
          </w:tcPr>
          <w:p>
            <w:r>
              <w:t>Offers</w:t>
            </w:r>
          </w:p>
        </w:tc>
        <w:tc>
          <w:tcPr>
            <w:tcW w:type="dxa" w:w="3024"/>
          </w:tcPr>
          <w:p>
            <w:r>
              <w:t>Multiple offer register: unique offer IDs, received/presented timestamps, agent, version, presentation evidence, outcome and status per offer.</w:t>
            </w:r>
          </w:p>
        </w:tc>
        <w:tc>
          <w:tcPr>
            <w:tcW w:type="dxa" w:w="3024"/>
          </w:tcPr>
          <w:p>
            <w:r>
              <w:t>P0</w:t>
            </w:r>
          </w:p>
        </w:tc>
        <w:tc>
          <w:tcPr>
            <w:tcW w:type="dxa" w:w="3024"/>
          </w:tcPr>
          <w:p>
            <w:r>
              <w:t>Q09</w:t>
            </w:r>
          </w:p>
        </w:tc>
      </w:tr>
      <w:tr>
        <w:tc>
          <w:tcPr>
            <w:tcW w:type="dxa" w:w="3024"/>
          </w:tcPr>
          <w:p>
            <w:r>
              <w:t>TM-011</w:t>
            </w:r>
          </w:p>
        </w:tc>
        <w:tc>
          <w:tcPr>
            <w:tcW w:type="dxa" w:w="3024"/>
          </w:tcPr>
          <w:p>
            <w:r>
              <w:t>Offers</w:t>
            </w:r>
          </w:p>
        </w:tc>
        <w:tc>
          <w:tcPr>
            <w:tcW w:type="dxa" w:w="3024"/>
          </w:tcPr>
          <w:p>
            <w:r>
              <w:t>Negotiation: counteroffers, expiry/irrevocability, rejection, withdrawal, revised offers, multi-offer integrity and audit history.</w:t>
            </w:r>
          </w:p>
        </w:tc>
        <w:tc>
          <w:tcPr>
            <w:tcW w:type="dxa" w:w="3024"/>
          </w:tcPr>
          <w:p>
            <w:r>
              <w:t>P0</w:t>
            </w:r>
          </w:p>
        </w:tc>
        <w:tc>
          <w:tcPr>
            <w:tcW w:type="dxa" w:w="3024"/>
          </w:tcPr>
          <w:p>
            <w:r>
              <w:t>Q09</w:t>
            </w:r>
          </w:p>
        </w:tc>
      </w:tr>
      <w:tr>
        <w:tc>
          <w:tcPr>
            <w:tcW w:type="dxa" w:w="3024"/>
          </w:tcPr>
          <w:p>
            <w:r>
              <w:t>TM-012</w:t>
            </w:r>
          </w:p>
        </w:tc>
        <w:tc>
          <w:tcPr>
            <w:tcW w:type="dxa" w:w="3024"/>
          </w:tcPr>
          <w:p>
            <w:r>
              <w:t>Clauses</w:t>
            </w:r>
          </w:p>
        </w:tc>
        <w:tc>
          <w:tcPr>
            <w:tcW w:type="dxa" w:w="3024"/>
          </w:tcPr>
          <w:p>
            <w:r>
              <w:t>Select broker-approved clauses, fill variables and allow custom AI draft proposals only with human review.</w:t>
            </w:r>
          </w:p>
        </w:tc>
        <w:tc>
          <w:tcPr>
            <w:tcW w:type="dxa" w:w="3024"/>
          </w:tcPr>
          <w:p>
            <w:r>
              <w:t>P0</w:t>
            </w:r>
          </w:p>
        </w:tc>
        <w:tc>
          <w:tcPr>
            <w:tcW w:type="dxa" w:w="3024"/>
          </w:tcPr>
          <w:p>
            <w:r>
              <w:t>Q13,Q14</w:t>
            </w:r>
          </w:p>
        </w:tc>
      </w:tr>
      <w:tr>
        <w:tc>
          <w:tcPr>
            <w:tcW w:type="dxa" w:w="3024"/>
          </w:tcPr>
          <w:p>
            <w:r>
              <w:t>TM-013</w:t>
            </w:r>
          </w:p>
        </w:tc>
        <w:tc>
          <w:tcPr>
            <w:tcW w:type="dxa" w:w="3024"/>
          </w:tcPr>
          <w:p>
            <w:r>
              <w:t>Conditions</w:t>
            </w:r>
          </w:p>
        </w:tc>
        <w:tc>
          <w:tcPr>
            <w:tcW w:type="dxa" w:w="3024"/>
          </w:tcPr>
          <w:p>
            <w:r>
              <w:t>Each condition is an obligation with exact source text, due rule/time, party, evidence, waiver/fulfillment/amendment, alerts and resolution.</w:t>
            </w:r>
          </w:p>
        </w:tc>
        <w:tc>
          <w:tcPr>
            <w:tcW w:type="dxa" w:w="3024"/>
          </w:tcPr>
          <w:p>
            <w:r>
              <w:t>P0</w:t>
            </w:r>
          </w:p>
        </w:tc>
        <w:tc>
          <w:tcPr>
            <w:tcW w:type="dxa" w:w="3024"/>
          </w:tcPr>
          <w:p>
            <w:r>
              <w:t>Q18,Q19</w:t>
            </w:r>
          </w:p>
        </w:tc>
      </w:tr>
      <w:tr>
        <w:tc>
          <w:tcPr>
            <w:tcW w:type="dxa" w:w="3024"/>
          </w:tcPr>
          <w:p>
            <w:r>
              <w:t>TM-014</w:t>
            </w:r>
          </w:p>
        </w:tc>
        <w:tc>
          <w:tcPr>
            <w:tcW w:type="dxa" w:w="3024"/>
          </w:tcPr>
          <w:p>
            <w:r>
              <w:t>Amendments</w:t>
            </w:r>
          </w:p>
        </w:tc>
        <w:tc>
          <w:tcPr>
            <w:tcW w:type="dxa" w:w="3024"/>
          </w:tcPr>
          <w:p>
            <w:r>
              <w:t>After execution, contractual changes use transaction-appropriate amendment/versioning, with required signatures and downstream impact analysis.</w:t>
            </w:r>
          </w:p>
        </w:tc>
        <w:tc>
          <w:tcPr>
            <w:tcW w:type="dxa" w:w="3024"/>
          </w:tcPr>
          <w:p>
            <w:r>
              <w:t>P0</w:t>
            </w:r>
          </w:p>
        </w:tc>
        <w:tc>
          <w:tcPr>
            <w:tcW w:type="dxa" w:w="3024"/>
          </w:tcPr>
          <w:p>
            <w:r>
              <w:t>Q15</w:t>
            </w:r>
          </w:p>
        </w:tc>
      </w:tr>
      <w:tr>
        <w:tc>
          <w:tcPr>
            <w:tcW w:type="dxa" w:w="3024"/>
          </w:tcPr>
          <w:p>
            <w:r>
              <w:t>TM-015</w:t>
            </w:r>
          </w:p>
        </w:tc>
        <w:tc>
          <w:tcPr>
            <w:tcW w:type="dxa" w:w="3024"/>
          </w:tcPr>
          <w:p>
            <w:r>
              <w:t>Signatures</w:t>
            </w:r>
          </w:p>
        </w:tc>
        <w:tc>
          <w:tcPr>
            <w:tcW w:type="dxa" w:w="3024"/>
          </w:tcPr>
          <w:p>
            <w:r>
              <w:t>E-sign provider, signed upload and standalone signing fallback; capture audit proof and signing failures.</w:t>
            </w:r>
          </w:p>
        </w:tc>
        <w:tc>
          <w:tcPr>
            <w:tcW w:type="dxa" w:w="3024"/>
          </w:tcPr>
          <w:p>
            <w:r>
              <w:t>P0</w:t>
            </w:r>
          </w:p>
        </w:tc>
        <w:tc>
          <w:tcPr>
            <w:tcW w:type="dxa" w:w="3024"/>
          </w:tcPr>
          <w:p>
            <w:r>
              <w:t>Q17</w:t>
            </w:r>
          </w:p>
        </w:tc>
      </w:tr>
      <w:tr>
        <w:tc>
          <w:tcPr>
            <w:tcW w:type="dxa" w:w="3024"/>
          </w:tcPr>
          <w:p>
            <w:r>
              <w:t>TM-016</w:t>
            </w:r>
          </w:p>
        </w:tc>
        <w:tc>
          <w:tcPr>
            <w:tcW w:type="dxa" w:w="3024"/>
          </w:tcPr>
          <w:p>
            <w:r>
              <w:t>Transactions</w:t>
            </w:r>
          </w:p>
        </w:tc>
        <w:tc>
          <w:tcPr>
            <w:tcW w:type="dxa" w:w="3024"/>
          </w:tcPr>
          <w:p>
            <w:r>
              <w:t>Manage acceptance, conditional, firm, pending closing, delayed closing, failed closing, terminated, closed and retained separately.</w:t>
            </w:r>
          </w:p>
        </w:tc>
        <w:tc>
          <w:tcPr>
            <w:tcW w:type="dxa" w:w="3024"/>
          </w:tcPr>
          <w:p>
            <w:r>
              <w:t>P0</w:t>
            </w:r>
          </w:p>
        </w:tc>
        <w:tc>
          <w:tcPr>
            <w:tcW w:type="dxa" w:w="3024"/>
          </w:tcPr>
          <w:p>
            <w:r>
              <w:t>Q21</w:t>
            </w:r>
          </w:p>
        </w:tc>
      </w:tr>
      <w:tr>
        <w:tc>
          <w:tcPr>
            <w:tcW w:type="dxa" w:w="3024"/>
          </w:tcPr>
          <w:p>
            <w:r>
              <w:t>TM-017</w:t>
            </w:r>
          </w:p>
        </w:tc>
        <w:tc>
          <w:tcPr>
            <w:tcW w:type="dxa" w:w="3024"/>
          </w:tcPr>
          <w:p>
            <w:r>
              <w:t>Deposits</w:t>
            </w:r>
          </w:p>
        </w:tc>
        <w:tc>
          <w:tcPr>
            <w:tcW w:type="dxa" w:w="3024"/>
          </w:tcPr>
          <w:p>
            <w:r>
              <w:t>Track expected/received/held/released statuses, due events, instructions, receipt evidence and escalation, without doing full trust ledger reconciliation.</w:t>
            </w:r>
          </w:p>
        </w:tc>
        <w:tc>
          <w:tcPr>
            <w:tcW w:type="dxa" w:w="3024"/>
          </w:tcPr>
          <w:p>
            <w:r>
              <w:t>P0</w:t>
            </w:r>
          </w:p>
        </w:tc>
        <w:tc>
          <w:tcPr>
            <w:tcW w:type="dxa" w:w="3024"/>
          </w:tcPr>
          <w:p>
            <w:r>
              <w:t>Q20</w:t>
            </w:r>
          </w:p>
        </w:tc>
      </w:tr>
      <w:tr>
        <w:tc>
          <w:tcPr>
            <w:tcW w:type="dxa" w:w="3024"/>
          </w:tcPr>
          <w:p>
            <w:r>
              <w:t>TM-018</w:t>
            </w:r>
          </w:p>
        </w:tc>
        <w:tc>
          <w:tcPr>
            <w:tcW w:type="dxa" w:w="3024"/>
          </w:tcPr>
          <w:p>
            <w:r>
              <w:t>Leases</w:t>
            </w:r>
          </w:p>
        </w:tc>
        <w:tc>
          <w:tcPr>
            <w:tcW w:type="dxa" w:w="3024"/>
          </w:tcPr>
          <w:p>
            <w:r>
              <w:t>Landlord/tenant listings, applications, privacy-controlled screening, human decisions, offer-to-lease and applicable Ontario standard lease completion.</w:t>
            </w:r>
          </w:p>
        </w:tc>
        <w:tc>
          <w:tcPr>
            <w:tcW w:type="dxa" w:w="3024"/>
          </w:tcPr>
          <w:p>
            <w:r>
              <w:t>P0</w:t>
            </w:r>
          </w:p>
        </w:tc>
        <w:tc>
          <w:tcPr>
            <w:tcW w:type="dxa" w:w="3024"/>
          </w:tcPr>
          <w:p>
            <w:r>
              <w:t>Q10</w:t>
            </w:r>
          </w:p>
        </w:tc>
      </w:tr>
      <w:tr>
        <w:tc>
          <w:tcPr>
            <w:tcW w:type="dxa" w:w="3024"/>
          </w:tcPr>
          <w:p>
            <w:r>
              <w:t>TM-019</w:t>
            </w:r>
          </w:p>
        </w:tc>
        <w:tc>
          <w:tcPr>
            <w:tcW w:type="dxa" w:w="3024"/>
          </w:tcPr>
          <w:p>
            <w:r>
              <w:t>Compliance</w:t>
            </w:r>
          </w:p>
        </w:tc>
        <w:tc>
          <w:tcPr>
            <w:tcW w:type="dxa" w:w="3024"/>
          </w:tcPr>
          <w:p>
            <w:r>
              <w:t>Source-linked RECO/FINTRAC/brokerage rules with reasoned applicability, evidence, overrides and BOR/delegated review.</w:t>
            </w:r>
          </w:p>
        </w:tc>
        <w:tc>
          <w:tcPr>
            <w:tcW w:type="dxa" w:w="3024"/>
          </w:tcPr>
          <w:p>
            <w:r>
              <w:t>P0</w:t>
            </w:r>
          </w:p>
        </w:tc>
        <w:tc>
          <w:tcPr>
            <w:tcW w:type="dxa" w:w="3024"/>
          </w:tcPr>
          <w:p>
            <w:r>
              <w:t>Q23,Q25</w:t>
            </w:r>
          </w:p>
        </w:tc>
      </w:tr>
      <w:tr>
        <w:tc>
          <w:tcPr>
            <w:tcW w:type="dxa" w:w="3024"/>
          </w:tcPr>
          <w:p>
            <w:r>
              <w:t>TM-020</w:t>
            </w:r>
          </w:p>
        </w:tc>
        <w:tc>
          <w:tcPr>
            <w:tcW w:type="dxa" w:w="3024"/>
          </w:tcPr>
          <w:p>
            <w:r>
              <w:t>Security</w:t>
            </w:r>
          </w:p>
        </w:tc>
        <w:tc>
          <w:tcPr>
            <w:tcW w:type="dxa" w:w="3024"/>
          </w:tcPr>
          <w:p>
            <w:r>
              <w:t>No transfer of private documents to unapproved AI models; access control, audit, encryption and record-specific permissions.</w:t>
            </w:r>
          </w:p>
        </w:tc>
        <w:tc>
          <w:tcPr>
            <w:tcW w:type="dxa" w:w="3024"/>
          </w:tcPr>
          <w:p>
            <w:r>
              <w:t>P0</w:t>
            </w:r>
          </w:p>
        </w:tc>
        <w:tc>
          <w:tcPr>
            <w:tcW w:type="dxa" w:w="3024"/>
          </w:tcPr>
          <w:p>
            <w:r>
              <w:t>Q26</w:t>
            </w:r>
          </w:p>
        </w:tc>
      </w:tr>
      <w:tr>
        <w:tc>
          <w:tcPr>
            <w:tcW w:type="dxa" w:w="3024"/>
          </w:tcPr>
          <w:p>
            <w:r>
              <w:t>TM-021</w:t>
            </w:r>
          </w:p>
        </w:tc>
        <w:tc>
          <w:tcPr>
            <w:tcW w:type="dxa" w:w="3024"/>
          </w:tcPr>
          <w:p>
            <w:r>
              <w:t>Retention</w:t>
            </w:r>
          </w:p>
        </w:tc>
        <w:tc>
          <w:tcPr>
            <w:tcW w:type="dxa" w:w="3024"/>
          </w:tcPr>
          <w:p>
            <w:r>
              <w:t>Seven-year default configurable with retention starts, category overrides, holds and controlled deletion.</w:t>
            </w:r>
          </w:p>
        </w:tc>
        <w:tc>
          <w:tcPr>
            <w:tcW w:type="dxa" w:w="3024"/>
          </w:tcPr>
          <w:p>
            <w:r>
              <w:t>P1</w:t>
            </w:r>
          </w:p>
        </w:tc>
        <w:tc>
          <w:tcPr>
            <w:tcW w:type="dxa" w:w="3024"/>
          </w:tcPr>
          <w:p>
            <w:r>
              <w:t>Q24</w:t>
            </w:r>
          </w:p>
        </w:tc>
      </w:tr>
      <w:tr>
        <w:tc>
          <w:tcPr>
            <w:tcW w:type="dxa" w:w="3024"/>
          </w:tcPr>
          <w:p>
            <w:r>
              <w:t>TM-022</w:t>
            </w:r>
          </w:p>
        </w:tc>
        <w:tc>
          <w:tcPr>
            <w:tcW w:type="dxa" w:w="3024"/>
          </w:tcPr>
          <w:p>
            <w:r>
              <w:t>Handoff</w:t>
            </w:r>
          </w:p>
        </w:tc>
        <w:tc>
          <w:tcPr>
            <w:tcW w:type="dxa" w:w="3024"/>
          </w:tcPr>
          <w:p>
            <w:r>
              <w:t>Produce agent-validated deal submission/TCS packet and structured event payload; accounting/trust-ledger processing outside scope.</w:t>
            </w:r>
          </w:p>
        </w:tc>
        <w:tc>
          <w:tcPr>
            <w:tcW w:type="dxa" w:w="3024"/>
          </w:tcPr>
          <w:p>
            <w:r>
              <w:t>P0</w:t>
            </w:r>
          </w:p>
        </w:tc>
        <w:tc>
          <w:tcPr>
            <w:tcW w:type="dxa" w:w="3024"/>
          </w:tcPr>
          <w:p>
            <w:r>
              <w:t>Q22</w:t>
            </w:r>
          </w:p>
        </w:tc>
      </w:tr>
      <w:tr>
        <w:tc>
          <w:tcPr>
            <w:tcW w:type="dxa" w:w="3024"/>
          </w:tcPr>
          <w:p>
            <w:r>
              <w:t>TM-023</w:t>
            </w:r>
          </w:p>
        </w:tc>
        <w:tc>
          <w:tcPr>
            <w:tcW w:type="dxa" w:w="3024"/>
          </w:tcPr>
          <w:p>
            <w:r>
              <w:t>Integrations</w:t>
            </w:r>
          </w:p>
        </w:tc>
        <w:tc>
          <w:tcPr>
            <w:tcW w:type="dxa" w:w="3024"/>
          </w:tcPr>
          <w:p>
            <w:r>
              <w:t>Adapters for authorized form source, e-sign, email/calendar, licensed property/MLS data and document storage; idempotent events and failure recovery.</w:t>
            </w:r>
          </w:p>
        </w:tc>
        <w:tc>
          <w:tcPr>
            <w:tcW w:type="dxa" w:w="3024"/>
          </w:tcPr>
          <w:p>
            <w:r>
              <w:t>P1</w:t>
            </w:r>
          </w:p>
        </w:tc>
        <w:tc>
          <w:tcPr>
            <w:tcW w:type="dxa" w:w="3024"/>
          </w:tcPr>
          <w:p>
            <w:r>
              <w:t>Q27</w:t>
            </w:r>
          </w:p>
        </w:tc>
      </w:tr>
      <w:tr>
        <w:tc>
          <w:tcPr>
            <w:tcW w:type="dxa" w:w="3024"/>
          </w:tcPr>
          <w:p>
            <w:r>
              <w:t>TM-024</w:t>
            </w:r>
          </w:p>
        </w:tc>
        <w:tc>
          <w:tcPr>
            <w:tcW w:type="dxa" w:w="3024"/>
          </w:tcPr>
          <w:p>
            <w:r>
              <w:t>Experience</w:t>
            </w:r>
          </w:p>
        </w:tc>
        <w:tc>
          <w:tcPr>
            <w:tcW w:type="dxa" w:w="3024"/>
          </w:tcPr>
          <w:p>
            <w:r>
              <w:t>Agent/reviewer task dashboards, mobile-responsive transaction views, status, next action, reminders and accessibility.</w:t>
            </w:r>
          </w:p>
        </w:tc>
        <w:tc>
          <w:tcPr>
            <w:tcW w:type="dxa" w:w="3024"/>
          </w:tcPr>
          <w:p>
            <w:r>
              <w:t>P0</w:t>
            </w:r>
          </w:p>
        </w:tc>
        <w:tc>
          <w:tcPr>
            <w:tcW w:type="dxa" w:w="3024"/>
          </w:tcPr>
          <w:p>
            <w:r>
              <w:t>Q28,Q29</w:t>
            </w:r>
          </w:p>
        </w:tc>
      </w:tr>
      <w:tr>
        <w:tc>
          <w:tcPr>
            <w:tcW w:type="dxa" w:w="3024"/>
          </w:tcPr>
          <w:p>
            <w:r>
              <w:t>TM-025</w:t>
            </w:r>
          </w:p>
        </w:tc>
        <w:tc>
          <w:tcPr>
            <w:tcW w:type="dxa" w:w="3024"/>
          </w:tcPr>
          <w:p>
            <w:r>
              <w:t>Listing</w:t>
            </w:r>
          </w:p>
        </w:tc>
        <w:tc>
          <w:tcPr>
            <w:tcW w:type="dxa" w:w="3024"/>
          </w:tcPr>
          <w:p>
            <w:r>
              <w:t>Seller/landlord listing workflows with listing documents, amendments, price changes, offers, withdrawal/suspension and relisting.</w:t>
            </w:r>
          </w:p>
        </w:tc>
        <w:tc>
          <w:tcPr>
            <w:tcW w:type="dxa" w:w="3024"/>
          </w:tcPr>
          <w:p>
            <w:r>
              <w:t>P0</w:t>
            </w:r>
          </w:p>
        </w:tc>
        <w:tc>
          <w:tcPr>
            <w:tcW w:type="dxa" w:w="3024"/>
          </w:tcPr>
          <w:p>
            <w:r>
              <w:t>Q06</w:t>
            </w:r>
          </w:p>
        </w:tc>
      </w:tr>
      <w:tr>
        <w:tc>
          <w:tcPr>
            <w:tcW w:type="dxa" w:w="3024"/>
          </w:tcPr>
          <w:p>
            <w:r>
              <w:t>TM-026</w:t>
            </w:r>
          </w:p>
        </w:tc>
        <w:tc>
          <w:tcPr>
            <w:tcW w:type="dxa" w:w="3024"/>
          </w:tcPr>
          <w:p>
            <w:r>
              <w:t>Governance</w:t>
            </w:r>
          </w:p>
        </w:tc>
        <w:tc>
          <w:tcPr>
            <w:tcW w:type="dxa" w:w="3024"/>
          </w:tcPr>
          <w:p>
            <w:r>
              <w:t>Configure activity-level gates independently: warn-only form-version control vs legally consequential review requirement.</w:t>
            </w:r>
          </w:p>
        </w:tc>
        <w:tc>
          <w:tcPr>
            <w:tcW w:type="dxa" w:w="3024"/>
          </w:tcPr>
          <w:p>
            <w:r>
              <w:t>P0</w:t>
            </w:r>
          </w:p>
        </w:tc>
        <w:tc>
          <w:tcPr>
            <w:tcW w:type="dxa" w:w="3024"/>
          </w:tcPr>
          <w:p>
            <w:r>
              <w:t>Q12,Q16</w:t>
            </w:r>
          </w:p>
        </w:tc>
      </w:tr>
      <w:tr>
        <w:tc>
          <w:tcPr>
            <w:tcW w:type="dxa" w:w="3024"/>
          </w:tcPr>
          <w:p>
            <w:r>
              <w:t>TM-027</w:t>
            </w:r>
          </w:p>
        </w:tc>
        <w:tc>
          <w:tcPr>
            <w:tcW w:type="dxa" w:w="3024"/>
          </w:tcPr>
          <w:p>
            <w:r>
              <w:t>Scenarios</w:t>
            </w:r>
          </w:p>
        </w:tc>
        <w:tc>
          <w:tcPr>
            <w:tcW w:type="dxa" w:w="3024"/>
          </w:tcPr>
          <w:p>
            <w:r>
              <w:t>Maintain configurable property/transaction/role matrix including specialty scenarios without asserting automatic same-form applicability.</w:t>
            </w:r>
          </w:p>
        </w:tc>
        <w:tc>
          <w:tcPr>
            <w:tcW w:type="dxa" w:w="3024"/>
          </w:tcPr>
          <w:p>
            <w:r>
              <w:t>P1</w:t>
            </w:r>
          </w:p>
        </w:tc>
        <w:tc>
          <w:tcPr>
            <w:tcW w:type="dxa" w:w="3024"/>
          </w:tcPr>
          <w:p>
            <w:r>
              <w:t>Q01,Q03</w:t>
            </w:r>
          </w:p>
        </w:tc>
      </w:tr>
      <w:tr>
        <w:tc>
          <w:tcPr>
            <w:tcW w:type="dxa" w:w="3024"/>
          </w:tcPr>
          <w:p>
            <w:r>
              <w:t>TM-028</w:t>
            </w:r>
          </w:p>
        </w:tc>
        <w:tc>
          <w:tcPr>
            <w:tcW w:type="dxa" w:w="3024"/>
          </w:tcPr>
          <w:p>
            <w:r>
              <w:t>Dual-sided</w:t>
            </w:r>
          </w:p>
        </w:tc>
        <w:tc>
          <w:tcPr>
            <w:tcW w:type="dxa" w:w="3024"/>
          </w:tcPr>
          <w:p>
            <w:r>
              <w:t>Support in-house opposite sides, conflicts, designated representatives, disclosure/consent and restricted cross-party visibility.</w:t>
            </w:r>
          </w:p>
        </w:tc>
        <w:tc>
          <w:tcPr>
            <w:tcW w:type="dxa" w:w="3024"/>
          </w:tcPr>
          <w:p>
            <w:r>
              <w:t>P0</w:t>
            </w:r>
          </w:p>
        </w:tc>
        <w:tc>
          <w:tcPr>
            <w:tcW w:type="dxa" w:w="3024"/>
          </w:tcPr>
          <w:p>
            <w:r>
              <w:t>Q04</w:t>
            </w:r>
          </w:p>
        </w:tc>
      </w:tr>
      <w:tr>
        <w:tc>
          <w:tcPr>
            <w:tcW w:type="dxa" w:w="3024"/>
          </w:tcPr>
          <w:p>
            <w:r>
              <w:t>TM-029</w:t>
            </w:r>
          </w:p>
        </w:tc>
        <w:tc>
          <w:tcPr>
            <w:tcW w:type="dxa" w:w="3024"/>
          </w:tcPr>
          <w:p>
            <w:r>
              <w:t>Audit</w:t>
            </w:r>
          </w:p>
        </w:tc>
        <w:tc>
          <w:tcPr>
            <w:tcW w:type="dxa" w:w="3024"/>
          </w:tcPr>
          <w:p>
            <w:r>
              <w:t>Immutable event log for offer presentation, signing, condition resolution, amendment, status, exception and evidence decisions.</w:t>
            </w:r>
          </w:p>
        </w:tc>
        <w:tc>
          <w:tcPr>
            <w:tcW w:type="dxa" w:w="3024"/>
          </w:tcPr>
          <w:p>
            <w:r>
              <w:t>P0</w:t>
            </w:r>
          </w:p>
        </w:tc>
        <w:tc>
          <w:tcPr>
            <w:tcW w:type="dxa" w:w="3024"/>
          </w:tcPr>
          <w:p>
            <w:r>
              <w:t>Q09,Q19</w:t>
            </w:r>
          </w:p>
        </w:tc>
      </w:tr>
      <w:tr>
        <w:tc>
          <w:tcPr>
            <w:tcW w:type="dxa" w:w="3024"/>
          </w:tcPr>
          <w:p>
            <w:r>
              <w:t>TM-030</w:t>
            </w:r>
          </w:p>
        </w:tc>
        <w:tc>
          <w:tcPr>
            <w:tcW w:type="dxa" w:w="3024"/>
          </w:tcPr>
          <w:p>
            <w:r>
              <w:t>Operations</w:t>
            </w:r>
          </w:p>
        </w:tc>
        <w:tc>
          <w:tcPr>
            <w:tcW w:type="dxa" w:w="3024"/>
          </w:tcPr>
          <w:p>
            <w:r>
              <w:t>Operational observability: job failures, retries, deadlines, documents awaiting review and regulatory warning dashboard.</w:t>
            </w:r>
          </w:p>
        </w:tc>
        <w:tc>
          <w:tcPr>
            <w:tcW w:type="dxa" w:w="3024"/>
          </w:tcPr>
          <w:p>
            <w:r>
              <w:t>P1</w:t>
            </w:r>
          </w:p>
        </w:tc>
        <w:tc>
          <w:tcPr>
            <w:tcW w:type="dxa" w:w="3024"/>
          </w:tcPr>
          <w:p>
            <w:r>
              <w:t>Q28</w:t>
            </w:r>
          </w:p>
        </w:tc>
      </w:tr>
    </w:tbl>
    <w:p/>
    <w:p>
      <w:pPr>
        <w:pStyle w:val="Heading1"/>
      </w:pPr>
      <w:r>
        <w:t>7. Acceptance/exit criteria</w:t>
      </w:r>
    </w:p>
    <w:p>
      <w:pPr>
        <w:pStyle w:val="ListBullet"/>
      </w:pPr>
      <w:r>
        <w:t>Buyer Freehold POC: transaction enters via onboarding, offer or import and completes a traceable offer→counter/accept→conditions→firm→closing/termination→TCS handoff path.</w:t>
      </w:r>
    </w:p>
    <w:p>
      <w:pPr>
        <w:pStyle w:val="ListBullet"/>
      </w:pPr>
      <w:r>
        <w:t>No signed agreement can be silently rewritten; changes are amendment events with impact analysis.</w:t>
      </w:r>
    </w:p>
    <w:p>
      <w:pPr>
        <w:pStyle w:val="ListBullet"/>
      </w:pPr>
      <w:r>
        <w:t>Guided and Freeflow invoke identical validation and authorization controls.</w:t>
      </w:r>
    </w:p>
    <w:p>
      <w:pPr>
        <w:pStyle w:val="ListBullet"/>
      </w:pPr>
      <w:r>
        <w:t>All currently supported roles and common transaction types have scenario packages, form mappings, permissions, negative tests and controlled source checks before market release.</w:t>
      </w:r>
    </w:p>
    <w:p>
      <w:pPr>
        <w:pStyle w:val="ListBullet"/>
      </w:pPr>
      <w:r>
        <w:t>Version warnings do not masquerade as verified current forms or erase required compliance tasks.</w:t>
      </w:r>
    </w:p>
    <w:p>
      <w:pPr>
        <w:pStyle w:val="ListBullet"/>
      </w:pPr>
      <w:r>
        <w:t>No private data is sent to unapproved external AI services.</w:t>
      </w:r>
    </w:p>
    <w:p>
      <w:pPr>
        <w:pStyle w:val="ListBullet"/>
      </w:pPr>
      <w:r>
        <w:t>Market release must pass security, accessibility, privacy, incident response, integration resilience and brokerage acceptance gates.</w:t>
      </w:r>
    </w:p>
    <w:p>
      <w:pPr>
        <w:pStyle w:val="Heading1"/>
      </w:pPr>
      <w:r>
        <w:t>8. Regulatory hierarchy and scope policy</w:t>
      </w:r>
    </w:p>
    <w:p>
      <w:r>
        <w:t>BROKO records whether a rule is (1) applicable legislation/RECO/FINTRAC guidance, (2) OREA/licensed form instruction, (3) BOR/brokerage policy, or (4) engineering product rule. “Warn only” is a UX choice concerning version verification; it cannot waive statutory duties, make an invalid form valid or authorize unauthorized activity.</w:t>
      </w:r>
    </w:p>
    <w:p>
      <w:pPr>
        <w:pStyle w:val="Heading1"/>
      </w:pPr>
      <w:r>
        <w:t>9. Authoritative online source index</w:t>
      </w:r>
    </w:p>
    <w:p>
      <w:pPr>
        <w:pStyle w:val="ListBullet"/>
      </w:pPr>
      <w:r>
        <w:t>REG-01: https://www.reco.on.ca/agents-and-brokerages/tresa-explained/tresa-faqs/</w:t>
      </w:r>
    </w:p>
    <w:p>
      <w:pPr>
        <w:pStyle w:val="ListBullet"/>
      </w:pPr>
      <w:r>
        <w:t>REG-02: https://www.ontario.ca/laws/regulation/050579</w:t>
      </w:r>
    </w:p>
    <w:p>
      <w:pPr>
        <w:pStyle w:val="ListBullet"/>
      </w:pPr>
      <w:r>
        <w:t>REG-03: https://www.ontario.ca/page/guide-ontarios-standard-lease</w:t>
      </w:r>
    </w:p>
    <w:p>
      <w:pPr>
        <w:pStyle w:val="ListBullet"/>
      </w:pPr>
      <w:r>
        <w:t>REG-04: https://fintrac-canafe.canada.ca/guidance-directives/recordkeeping-document/record/real-eng</w:t>
      </w:r>
    </w:p>
    <w:p>
      <w:pPr>
        <w:pStyle w:val="ListBullet"/>
      </w:pPr>
      <w:r>
        <w:t>REG-05: https://fintrac-canafe.canada.ca/guidance-directives/client-clientele/client/real-eng</w:t>
      </w:r>
    </w:p>
    <w:p>
      <w:pPr>
        <w:pStyle w:val="ListBullet"/>
      </w:pPr>
      <w:r>
        <w:t>REG-06: https://www.orea.com/</w:t>
      </w:r>
    </w:p>
    <w:p>
      <w:pPr>
        <w:pStyle w:val="Heading1"/>
      </w:pPr>
      <w:r>
        <w:t>10. Document control and sign-off</w:t>
      </w:r>
    </w:p>
    <w:p>
      <w:r>
        <w:t>Product owner: scope and release plan. BOR: brokerage operating decisions. Compliance/legal specialist: current source-linked statutory interpretation. Forms administrator: licensed member form/version field maps. Engineering: implementation and security. QA: test execution. This pack is a finalized scope baseline, with explicitly listed operational verification gates before production.</w:t>
      </w:r>
    </w:p>
    <w:sectPr w:rsidR="00FC693F" w:rsidRPr="0006063C" w:rsidSect="00034616">
      <w:pgSz w:w="16848" w:h="11952"/>
      <w:pgMar w:top="1008" w:right="864" w:bottom="936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