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D63"/>
          <w:sz w:val="52"/>
        </w:rPr>
        <w:t>BROKO</w:t>
      </w:r>
    </w:p>
    <w:p>
      <w:pPr>
        <w:jc w:val="center"/>
      </w:pPr>
      <w:r>
        <w:rPr>
          <w:b/>
          <w:sz w:val="34"/>
        </w:rPr>
        <w:t>04 — Release Plan, POC &amp; Acceptance</w:t>
      </w:r>
    </w:p>
    <w:p>
      <w:pPr>
        <w:jc w:val="center"/>
      </w:pPr>
      <w:r>
        <w:t>Buyer Freehold first; residential market module later</w:t>
      </w:r>
    </w:p>
    <w:p>
      <w:r>
        <w:t>Final requirements baseline for design | 20 October 2026 | Ontario residential only | Not a certification of legal compliance</w:t>
      </w:r>
    </w:p>
    <w:p>
      <w:pPr>
        <w:pStyle w:val="Heading1"/>
      </w:pPr>
      <w:r>
        <w:t>1. Separation of complete design from delivery</w:t>
      </w:r>
    </w:p>
    <w:p>
      <w:r>
        <w:t>Full-module PRD covers all proposed residential roles and specialty scenarios. The first POC implements only Buyer Freehold end-to-end. Market-release dates and whether specialty cases ship initially remain intentionally uncommitted; prioritize by brokerage demand and validated form availability. Commercial is excluded.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  <w:gridCol w:w="5040"/>
      </w:tblGrid>
      <w:tr>
        <w:tc>
          <w:tcPr>
            <w:tcW w:type="dxa" w:w="5040"/>
          </w:tcPr>
          <w:p>
            <w:r>
              <w:t>Phase</w:t>
            </w:r>
          </w:p>
        </w:tc>
        <w:tc>
          <w:tcPr>
            <w:tcW w:type="dxa" w:w="5040"/>
          </w:tcPr>
          <w:p>
            <w:r>
              <w:t>Deliverable</w:t>
            </w:r>
          </w:p>
        </w:tc>
        <w:tc>
          <w:tcPr>
            <w:tcW w:type="dxa" w:w="5040"/>
          </w:tcPr>
          <w:p>
            <w:r>
              <w:t>Exit gate</w:t>
            </w:r>
          </w:p>
        </w:tc>
      </w:tr>
      <w:tr>
        <w:tc>
          <w:tcPr>
            <w:tcW w:type="dxa" w:w="5040"/>
          </w:tcPr>
          <w:p>
            <w:r>
              <w:t>P0 Buyer Freehold POC</w:t>
            </w:r>
          </w:p>
        </w:tc>
        <w:tc>
          <w:tcPr>
            <w:tcW w:type="dxa" w:w="5040"/>
          </w:tcPr>
          <w:p>
            <w:r>
              <w:t>Create/import buyer, representation, Form 100 offer+Schedule A/B, signing, offer/counteroffer, condition/reminder, amendment, firm/closing status, deposit events, TCS handoff</w:t>
            </w:r>
          </w:p>
        </w:tc>
        <w:tc>
          <w:tcPr>
            <w:tcW w:type="dxa" w:w="5040"/>
          </w:tcPr>
          <w:p>
            <w:r>
              <w:t>Positive and negative Buyer Freehold scenarios pass; BOR witnesses an end-to-end demonstration</w:t>
            </w:r>
          </w:p>
        </w:tc>
      </w:tr>
      <w:tr>
        <w:tc>
          <w:tcPr>
            <w:tcW w:type="dxa" w:w="5040"/>
          </w:tcPr>
          <w:p>
            <w:r>
              <w:t>R1 Residential common cases</w:t>
            </w:r>
          </w:p>
        </w:tc>
        <w:tc>
          <w:tcPr>
            <w:tcW w:type="dxa" w:w="5040"/>
          </w:tcPr>
          <w:p>
            <w:r>
              <w:t>Buyer/Seller Freehold + Condo resale, Landlord/Tenant standard residential lease, listing-side, multi-offer register, client permissions, privacy, complete clause/field rules</w:t>
            </w:r>
          </w:p>
        </w:tc>
        <w:tc>
          <w:tcPr>
            <w:tcW w:type="dxa" w:w="5040"/>
          </w:tcPr>
          <w:p>
            <w:r>
              <w:t>Every core path has tested forms, rights/role gates and operational support</w:t>
            </w:r>
          </w:p>
        </w:tc>
      </w:tr>
      <w:tr>
        <w:tc>
          <w:tcPr>
            <w:tcW w:type="dxa" w:w="5040"/>
          </w:tcPr>
          <w:p>
            <w:r>
              <w:t>R2 Specialty residential</w:t>
            </w:r>
          </w:p>
        </w:tc>
        <w:tc>
          <w:tcPr>
            <w:tcW w:type="dxa" w:w="5040"/>
          </w:tcPr>
          <w:p>
            <w:r>
              <w:t>POTL, builder/preconstruction, assignment, power-of-sale, rural/vacant land, investment property, room/student tenancy, renewal variations</w:t>
            </w:r>
          </w:p>
        </w:tc>
        <w:tc>
          <w:tcPr>
            <w:tcW w:type="dxa" w:w="5040"/>
          </w:tcPr>
          <w:p>
            <w:r>
              <w:t>Applicable custom/third-party forms licensed and verified; exceptions tested</w:t>
            </w:r>
          </w:p>
        </w:tc>
      </w:tr>
      <w:tr>
        <w:tc>
          <w:tcPr>
            <w:tcW w:type="dxa" w:w="5040"/>
          </w:tcPr>
          <w:p>
            <w:r>
              <w:t>Production hardening</w:t>
            </w:r>
          </w:p>
        </w:tc>
        <w:tc>
          <w:tcPr>
            <w:tcW w:type="dxa" w:w="5040"/>
          </w:tcPr>
          <w:p>
            <w:r>
              <w:t>Access, monitoring, recovery, field mapping, audit, retention, licensed integration, mobile responsive</w:t>
            </w:r>
          </w:p>
        </w:tc>
        <w:tc>
          <w:tcPr>
            <w:tcW w:type="dxa" w:w="5040"/>
          </w:tcPr>
          <w:p>
            <w:r>
              <w:t>Independent security/privacy QA, performance SLOs, BOR and legal/compliance approval</w:t>
            </w:r>
          </w:p>
        </w:tc>
      </w:tr>
    </w:tbl>
    <w:p/>
    <w:p>
      <w:pPr>
        <w:pStyle w:val="Heading1"/>
      </w:pPr>
      <w:r>
        <w:t>2. POC scope and explicit exclusions</w:t>
      </w:r>
    </w:p>
    <w:p>
      <w:pPr>
        <w:pStyle w:val="ListBullet"/>
      </w:pPr>
      <w:r>
        <w:t>POC must demonstrate onboarding → representation → offer package → signed presentation → counter → conditional acceptance → notice/waiver/amendment → firm → deposit tracking → closing/outcome → validated TCS package.</w:t>
      </w:r>
    </w:p>
    <w:p>
      <w:pPr>
        <w:pStyle w:val="ListBullet"/>
      </w:pPr>
      <w:r>
        <w:t>POC must also import an already-executed agreement and resume from an intermediate step, demonstrating no forced recreation.</w:t>
      </w:r>
    </w:p>
    <w:p>
      <w:pPr>
        <w:pStyle w:val="ListBullet"/>
      </w:pPr>
      <w:r>
        <w:t>POC does not implement production seller, condo or landlord/tenant workflow; but core engine and domain taxonomy must not prevent them.</w:t>
      </w:r>
    </w:p>
    <w:p>
      <w:pPr>
        <w:pStyle w:val="ListBullet"/>
      </w:pPr>
      <w:r>
        <w:t>POC excludes commercial, full trust accounting, commission payout engine, CRM, billing and brokerage SaaS administration.</w:t>
      </w:r>
    </w:p>
    <w:p>
      <w:pPr>
        <w:pStyle w:val="Heading1"/>
      </w:pPr>
      <w:r>
        <w:t>3. Test plan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780"/>
        <w:gridCol w:w="3780"/>
        <w:gridCol w:w="3780"/>
        <w:gridCol w:w="3780"/>
      </w:tblGrid>
      <w:tr>
        <w:tc>
          <w:tcPr>
            <w:tcW w:type="dxa" w:w="3780"/>
          </w:tcPr>
          <w:p>
            <w:r>
              <w:t>Test ID</w:t>
            </w:r>
          </w:p>
        </w:tc>
        <w:tc>
          <w:tcPr>
            <w:tcW w:type="dxa" w:w="3780"/>
          </w:tcPr>
          <w:p>
            <w:r>
              <w:t>Requirement</w:t>
            </w:r>
          </w:p>
        </w:tc>
        <w:tc>
          <w:tcPr>
            <w:tcW w:type="dxa" w:w="3780"/>
          </w:tcPr>
          <w:p>
            <w:r>
              <w:t>Scenario</w:t>
            </w:r>
          </w:p>
        </w:tc>
        <w:tc>
          <w:tcPr>
            <w:tcW w:type="dxa" w:w="3780"/>
          </w:tcPr>
          <w:p>
            <w:r>
              <w:t>Pass criterion</w:t>
            </w:r>
          </w:p>
        </w:tc>
      </w:tr>
      <w:tr>
        <w:tc>
          <w:tcPr>
            <w:tcW w:type="dxa" w:w="3780"/>
          </w:tcPr>
          <w:p>
            <w:r>
              <w:t>T-001</w:t>
            </w:r>
          </w:p>
        </w:tc>
        <w:tc>
          <w:tcPr>
            <w:tcW w:type="dxa" w:w="3780"/>
          </w:tcPr>
          <w:p>
            <w:r>
              <w:t>TM-001</w:t>
            </w:r>
          </w:p>
        </w:tc>
        <w:tc>
          <w:tcPr>
            <w:tcW w:type="dxa" w:w="3780"/>
          </w:tcPr>
          <w:p>
            <w:r>
              <w:t>Create from accepted deal, upload signed agreement; reconstruct event history</w:t>
            </w:r>
          </w:p>
        </w:tc>
        <w:tc>
          <w:tcPr>
            <w:tcW w:type="dxa" w:w="3780"/>
          </w:tcPr>
          <w:p>
            <w:r>
              <w:t>Imported docs pending verification; only verified prerequisites satisfy gates</w:t>
            </w:r>
          </w:p>
        </w:tc>
      </w:tr>
      <w:tr>
        <w:tc>
          <w:tcPr>
            <w:tcW w:type="dxa" w:w="3780"/>
          </w:tcPr>
          <w:p>
            <w:r>
              <w:t>T-002</w:t>
            </w:r>
          </w:p>
        </w:tc>
        <w:tc>
          <w:tcPr>
            <w:tcW w:type="dxa" w:w="3780"/>
          </w:tcPr>
          <w:p>
            <w:r>
              <w:t>TM-003</w:t>
            </w:r>
          </w:p>
        </w:tc>
        <w:tc>
          <w:tcPr>
            <w:tcW w:type="dxa" w:w="3780"/>
          </w:tcPr>
          <w:p>
            <w:r>
              <w:t>Select dependent Form B directly in Freeflow with Form A missing</w:t>
            </w:r>
          </w:p>
        </w:tc>
        <w:tc>
          <w:tcPr>
            <w:tcW w:type="dxa" w:w="3780"/>
          </w:tcPr>
          <w:p>
            <w:r>
              <w:t>Offer prerequisite completion or verified upload; no false completion</w:t>
            </w:r>
          </w:p>
        </w:tc>
      </w:tr>
      <w:tr>
        <w:tc>
          <w:tcPr>
            <w:tcW w:type="dxa" w:w="3780"/>
          </w:tcPr>
          <w:p>
            <w:r>
              <w:t>T-003</w:t>
            </w:r>
          </w:p>
        </w:tc>
        <w:tc>
          <w:tcPr>
            <w:tcW w:type="dxa" w:w="3780"/>
          </w:tcPr>
          <w:p>
            <w:r>
              <w:t>TM-006</w:t>
            </w:r>
          </w:p>
        </w:tc>
        <w:tc>
          <w:tcPr>
            <w:tcW w:type="dxa" w:w="3780"/>
          </w:tcPr>
          <w:p>
            <w:r>
              <w:t>Form version unknown; continue drafting and signing</w:t>
            </w:r>
          </w:p>
        </w:tc>
        <w:tc>
          <w:tcPr>
            <w:tcW w:type="dxa" w:w="3780"/>
          </w:tcPr>
          <w:p>
            <w:r>
              <w:t>Warnings remain visible; BOR notified; never marked version-verified; statutory checks independent</w:t>
            </w:r>
          </w:p>
        </w:tc>
      </w:tr>
      <w:tr>
        <w:tc>
          <w:tcPr>
            <w:tcW w:type="dxa" w:w="3780"/>
          </w:tcPr>
          <w:p>
            <w:r>
              <w:t>T-004</w:t>
            </w:r>
          </w:p>
        </w:tc>
        <w:tc>
          <w:tcPr>
            <w:tcW w:type="dxa" w:w="3780"/>
          </w:tcPr>
          <w:p>
            <w:r>
              <w:t>TM-008</w:t>
            </w:r>
          </w:p>
        </w:tc>
        <w:tc>
          <w:tcPr>
            <w:tcW w:type="dxa" w:w="3780"/>
          </w:tcPr>
          <w:p>
            <w:r>
              <w:t>Same brokerage represents two parties; conflict triggers</w:t>
            </w:r>
          </w:p>
        </w:tc>
        <w:tc>
          <w:tcPr>
            <w:tcW w:type="dxa" w:w="3780"/>
          </w:tcPr>
          <w:p>
            <w:r>
              <w:t>Client workspaces isolated; mandated disclosure and consent flow applied</w:t>
            </w:r>
          </w:p>
        </w:tc>
      </w:tr>
      <w:tr>
        <w:tc>
          <w:tcPr>
            <w:tcW w:type="dxa" w:w="3780"/>
          </w:tcPr>
          <w:p>
            <w:r>
              <w:t>T-005</w:t>
            </w:r>
          </w:p>
        </w:tc>
        <w:tc>
          <w:tcPr>
            <w:tcW w:type="dxa" w:w="3780"/>
          </w:tcPr>
          <w:p>
            <w:r>
              <w:t>TM-010</w:t>
            </w:r>
          </w:p>
        </w:tc>
        <w:tc>
          <w:tcPr>
            <w:tcW w:type="dxa" w:w="3780"/>
          </w:tcPr>
          <w:p>
            <w:r>
              <w:t>Three competing purchase offers arrive; one countered and accepted</w:t>
            </w:r>
          </w:p>
        </w:tc>
        <w:tc>
          <w:tcPr>
            <w:tcW w:type="dxa" w:w="3780"/>
          </w:tcPr>
          <w:p>
            <w:r>
              <w:t>Register preserves all versions, presentation dates, outcomes and parties</w:t>
            </w:r>
          </w:p>
        </w:tc>
      </w:tr>
      <w:tr>
        <w:tc>
          <w:tcPr>
            <w:tcW w:type="dxa" w:w="3780"/>
          </w:tcPr>
          <w:p>
            <w:r>
              <w:t>T-006</w:t>
            </w:r>
          </w:p>
        </w:tc>
        <w:tc>
          <w:tcPr>
            <w:tcW w:type="dxa" w:w="3780"/>
          </w:tcPr>
          <w:p>
            <w:r>
              <w:t>TM-011</w:t>
            </w:r>
          </w:p>
        </w:tc>
        <w:tc>
          <w:tcPr>
            <w:tcW w:type="dxa" w:w="3780"/>
          </w:tcPr>
          <w:p>
            <w:r>
              <w:t>Offer expiry passes or acceptance disputed</w:t>
            </w:r>
          </w:p>
        </w:tc>
        <w:tc>
          <w:tcPr>
            <w:tcW w:type="dxa" w:w="3780"/>
          </w:tcPr>
          <w:p>
            <w:r>
              <w:t>No automatic legally binding conclusion; review queue and evidence</w:t>
            </w:r>
          </w:p>
        </w:tc>
      </w:tr>
      <w:tr>
        <w:tc>
          <w:tcPr>
            <w:tcW w:type="dxa" w:w="3780"/>
          </w:tcPr>
          <w:p>
            <w:r>
              <w:t>T-007</w:t>
            </w:r>
          </w:p>
        </w:tc>
        <w:tc>
          <w:tcPr>
            <w:tcW w:type="dxa" w:w="3780"/>
          </w:tcPr>
          <w:p>
            <w:r>
              <w:t>TM-012</w:t>
            </w:r>
          </w:p>
        </w:tc>
        <w:tc>
          <w:tcPr>
            <w:tcW w:type="dxa" w:w="3780"/>
          </w:tcPr>
          <w:p>
            <w:r>
              <w:t>AI drafts custom inspection clause</w:t>
            </w:r>
          </w:p>
        </w:tc>
        <w:tc>
          <w:tcPr>
            <w:tcW w:type="dxa" w:w="3780"/>
          </w:tcPr>
          <w:p>
            <w:r>
              <w:t>Draft flagged for agent/BOR approval; no silent contractual insertion</w:t>
            </w:r>
          </w:p>
        </w:tc>
      </w:tr>
      <w:tr>
        <w:tc>
          <w:tcPr>
            <w:tcW w:type="dxa" w:w="3780"/>
          </w:tcPr>
          <w:p>
            <w:r>
              <w:t>T-008</w:t>
            </w:r>
          </w:p>
        </w:tc>
        <w:tc>
          <w:tcPr>
            <w:tcW w:type="dxa" w:w="3780"/>
          </w:tcPr>
          <w:p>
            <w:r>
              <w:t>TM-013</w:t>
            </w:r>
          </w:p>
        </w:tc>
        <w:tc>
          <w:tcPr>
            <w:tcW w:type="dxa" w:w="3780"/>
          </w:tcPr>
          <w:p>
            <w:r>
              <w:t>One business-day condition and one calendar-day condition; holiday and DST</w:t>
            </w:r>
          </w:p>
        </w:tc>
        <w:tc>
          <w:tcPr>
            <w:tcW w:type="dxa" w:w="3780"/>
          </w:tcPr>
          <w:p>
            <w:r>
              <w:t>Separate accurate schedules with clause-specific rules and Ontario timezone</w:t>
            </w:r>
          </w:p>
        </w:tc>
      </w:tr>
      <w:tr>
        <w:tc>
          <w:tcPr>
            <w:tcW w:type="dxa" w:w="3780"/>
          </w:tcPr>
          <w:p>
            <w:r>
              <w:t>T-009</w:t>
            </w:r>
          </w:p>
        </w:tc>
        <w:tc>
          <w:tcPr>
            <w:tcW w:type="dxa" w:w="3780"/>
          </w:tcPr>
          <w:p>
            <w:r>
              <w:t>TM-014</w:t>
            </w:r>
          </w:p>
        </w:tc>
        <w:tc>
          <w:tcPr>
            <w:tcW w:type="dxa" w:w="3780"/>
          </w:tcPr>
          <w:p>
            <w:r>
              <w:t>Change buyer name after execution</w:t>
            </w:r>
          </w:p>
        </w:tc>
        <w:tc>
          <w:tcPr>
            <w:tcW w:type="dxa" w:w="3780"/>
          </w:tcPr>
          <w:p>
            <w:r>
              <w:t>Original immutable; amendment/signatures and dependent data review</w:t>
            </w:r>
          </w:p>
        </w:tc>
      </w:tr>
      <w:tr>
        <w:tc>
          <w:tcPr>
            <w:tcW w:type="dxa" w:w="3780"/>
          </w:tcPr>
          <w:p>
            <w:r>
              <w:t>T-010</w:t>
            </w:r>
          </w:p>
        </w:tc>
        <w:tc>
          <w:tcPr>
            <w:tcW w:type="dxa" w:w="3780"/>
          </w:tcPr>
          <w:p>
            <w:r>
              <w:t>TM-015</w:t>
            </w:r>
          </w:p>
        </w:tc>
        <w:tc>
          <w:tcPr>
            <w:tcW w:type="dxa" w:w="3780"/>
          </w:tcPr>
          <w:p>
            <w:r>
              <w:t>Signing provider fails mid-document; agent uploads signed fallback</w:t>
            </w:r>
          </w:p>
        </w:tc>
        <w:tc>
          <w:tcPr>
            <w:tcW w:type="dxa" w:w="3780"/>
          </w:tcPr>
          <w:p>
            <w:r>
              <w:t>Preserve in-flight state, no duplicates, validate external signing evidence</w:t>
            </w:r>
          </w:p>
        </w:tc>
      </w:tr>
      <w:tr>
        <w:tc>
          <w:tcPr>
            <w:tcW w:type="dxa" w:w="3780"/>
          </w:tcPr>
          <w:p>
            <w:r>
              <w:t>T-011</w:t>
            </w:r>
          </w:p>
        </w:tc>
        <w:tc>
          <w:tcPr>
            <w:tcW w:type="dxa" w:w="3780"/>
          </w:tcPr>
          <w:p>
            <w:r>
              <w:t>TM-016</w:t>
            </w:r>
          </w:p>
        </w:tc>
        <w:tc>
          <w:tcPr>
            <w:tcW w:type="dxa" w:w="3780"/>
          </w:tcPr>
          <w:p>
            <w:r>
              <w:t>Deposit absent though offer unconditional and executed</w:t>
            </w:r>
          </w:p>
        </w:tc>
        <w:tc>
          <w:tcPr>
            <w:tcW w:type="dxa" w:w="3780"/>
          </w:tcPr>
          <w:p>
            <w:r>
              <w:t>No deposit-only firm gate; deposit escalations tracked independently</w:t>
            </w:r>
          </w:p>
        </w:tc>
      </w:tr>
      <w:tr>
        <w:tc>
          <w:tcPr>
            <w:tcW w:type="dxa" w:w="3780"/>
          </w:tcPr>
          <w:p>
            <w:r>
              <w:t>T-012</w:t>
            </w:r>
          </w:p>
        </w:tc>
        <w:tc>
          <w:tcPr>
            <w:tcW w:type="dxa" w:w="3780"/>
          </w:tcPr>
          <w:p>
            <w:r>
              <w:t>TM-016</w:t>
            </w:r>
          </w:p>
        </w:tc>
        <w:tc>
          <w:tcPr>
            <w:tcW w:type="dxa" w:w="3780"/>
          </w:tcPr>
          <w:p>
            <w:r>
              <w:t>Closing delayed, later fails</w:t>
            </w:r>
          </w:p>
        </w:tc>
        <w:tc>
          <w:tcPr>
            <w:tcW w:type="dxa" w:w="3780"/>
          </w:tcPr>
          <w:p>
            <w:r>
              <w:t>Separate delayed/failed closing and authorized termination tasks</w:t>
            </w:r>
          </w:p>
        </w:tc>
      </w:tr>
      <w:tr>
        <w:tc>
          <w:tcPr>
            <w:tcW w:type="dxa" w:w="3780"/>
          </w:tcPr>
          <w:p>
            <w:r>
              <w:t>T-013</w:t>
            </w:r>
          </w:p>
        </w:tc>
        <w:tc>
          <w:tcPr>
            <w:tcW w:type="dxa" w:w="3780"/>
          </w:tcPr>
          <w:p>
            <w:r>
              <w:t>TM-017</w:t>
            </w:r>
          </w:p>
        </w:tc>
        <w:tc>
          <w:tcPr>
            <w:tcW w:type="dxa" w:w="3780"/>
          </w:tcPr>
          <w:p>
            <w:r>
              <w:t>Deposit held elsewhere / direct builder payment</w:t>
            </w:r>
          </w:p>
        </w:tc>
        <w:tc>
          <w:tcPr>
            <w:tcW w:type="dxa" w:w="3780"/>
          </w:tcPr>
          <w:p>
            <w:r>
              <w:t>Status and applicable records evaluated based on actual event, not guessed holder</w:t>
            </w:r>
          </w:p>
        </w:tc>
      </w:tr>
      <w:tr>
        <w:tc>
          <w:tcPr>
            <w:tcW w:type="dxa" w:w="3780"/>
          </w:tcPr>
          <w:p>
            <w:r>
              <w:t>T-014</w:t>
            </w:r>
          </w:p>
        </w:tc>
        <w:tc>
          <w:tcPr>
            <w:tcW w:type="dxa" w:w="3780"/>
          </w:tcPr>
          <w:p>
            <w:r>
              <w:t>TM-018</w:t>
            </w:r>
          </w:p>
        </w:tc>
        <w:tc>
          <w:tcPr>
            <w:tcW w:type="dxa" w:w="3780"/>
          </w:tcPr>
          <w:p>
            <w:r>
              <w:t>Tenant applies; landlord declines after human review</w:t>
            </w:r>
          </w:p>
        </w:tc>
        <w:tc>
          <w:tcPr>
            <w:tcW w:type="dxa" w:w="3780"/>
          </w:tcPr>
          <w:p>
            <w:r>
              <w:t>Screening data isolated; decision audit recorded; no automated prohibited reasoning</w:t>
            </w:r>
          </w:p>
        </w:tc>
      </w:tr>
      <w:tr>
        <w:tc>
          <w:tcPr>
            <w:tcW w:type="dxa" w:w="3780"/>
          </w:tcPr>
          <w:p>
            <w:r>
              <w:t>T-015</w:t>
            </w:r>
          </w:p>
        </w:tc>
        <w:tc>
          <w:tcPr>
            <w:tcW w:type="dxa" w:w="3780"/>
          </w:tcPr>
          <w:p>
            <w:r>
              <w:t>TM-018</w:t>
            </w:r>
          </w:p>
        </w:tc>
        <w:tc>
          <w:tcPr>
            <w:tcW w:type="dxa" w:w="3780"/>
          </w:tcPr>
          <w:p>
            <w:r>
              <w:t>Ontario covered tenancy uses offer-to-lease then standard lease</w:t>
            </w:r>
          </w:p>
        </w:tc>
        <w:tc>
          <w:tcPr>
            <w:tcW w:type="dxa" w:w="3780"/>
          </w:tcPr>
          <w:p>
            <w:r>
              <w:t>Relevant standard lease task generated; exceptions handled</w:t>
            </w:r>
          </w:p>
        </w:tc>
      </w:tr>
      <w:tr>
        <w:tc>
          <w:tcPr>
            <w:tcW w:type="dxa" w:w="3780"/>
          </w:tcPr>
          <w:p>
            <w:r>
              <w:t>T-016</w:t>
            </w:r>
          </w:p>
        </w:tc>
        <w:tc>
          <w:tcPr>
            <w:tcW w:type="dxa" w:w="3780"/>
          </w:tcPr>
          <w:p>
            <w:r>
              <w:t>TM-019</w:t>
            </w:r>
          </w:p>
        </w:tc>
        <w:tc>
          <w:tcPr>
            <w:tcW w:type="dxa" w:w="3780"/>
          </w:tcPr>
          <w:p>
            <w:r>
              <w:t>Compliance record missing but draft requested</w:t>
            </w:r>
          </w:p>
        </w:tc>
        <w:tc>
          <w:tcPr>
            <w:tcW w:type="dxa" w:w="3780"/>
          </w:tcPr>
          <w:p>
            <w:r>
              <w:t>Draft allowed where safe; compliance status remains incomplete</w:t>
            </w:r>
          </w:p>
        </w:tc>
      </w:tr>
      <w:tr>
        <w:tc>
          <w:tcPr>
            <w:tcW w:type="dxa" w:w="3780"/>
          </w:tcPr>
          <w:p>
            <w:r>
              <w:t>T-017</w:t>
            </w:r>
          </w:p>
        </w:tc>
        <w:tc>
          <w:tcPr>
            <w:tcW w:type="dxa" w:w="3780"/>
          </w:tcPr>
          <w:p>
            <w:r>
              <w:t>TM-020</w:t>
            </w:r>
          </w:p>
        </w:tc>
        <w:tc>
          <w:tcPr>
            <w:tcW w:type="dxa" w:w="3780"/>
          </w:tcPr>
          <w:p>
            <w:r>
              <w:t>Unapproved model requests client identity PDF</w:t>
            </w:r>
          </w:p>
        </w:tc>
        <w:tc>
          <w:tcPr>
            <w:tcW w:type="dxa" w:w="3780"/>
          </w:tcPr>
          <w:p>
            <w:r>
              <w:t>Prevent transfer; produce audit/security event</w:t>
            </w:r>
          </w:p>
        </w:tc>
      </w:tr>
      <w:tr>
        <w:tc>
          <w:tcPr>
            <w:tcW w:type="dxa" w:w="3780"/>
          </w:tcPr>
          <w:p>
            <w:r>
              <w:t>T-018</w:t>
            </w:r>
          </w:p>
        </w:tc>
        <w:tc>
          <w:tcPr>
            <w:tcW w:type="dxa" w:w="3780"/>
          </w:tcPr>
          <w:p>
            <w:r>
              <w:t>TM-021</w:t>
            </w:r>
          </w:p>
        </w:tc>
        <w:tc>
          <w:tcPr>
            <w:tcW w:type="dxa" w:w="3780"/>
          </w:tcPr>
          <w:p>
            <w:r>
              <w:t>Seven-year period altered; legal hold active</w:t>
            </w:r>
          </w:p>
        </w:tc>
        <w:tc>
          <w:tcPr>
            <w:tcW w:type="dxa" w:w="3780"/>
          </w:tcPr>
          <w:p>
            <w:r>
              <w:t>Retention configuration changes without deleting held documents</w:t>
            </w:r>
          </w:p>
        </w:tc>
      </w:tr>
      <w:tr>
        <w:tc>
          <w:tcPr>
            <w:tcW w:type="dxa" w:w="3780"/>
          </w:tcPr>
          <w:p>
            <w:r>
              <w:t>T-019</w:t>
            </w:r>
          </w:p>
        </w:tc>
        <w:tc>
          <w:tcPr>
            <w:tcW w:type="dxa" w:w="3780"/>
          </w:tcPr>
          <w:p>
            <w:r>
              <w:t>TM-022</w:t>
            </w:r>
          </w:p>
        </w:tc>
        <w:tc>
          <w:tcPr>
            <w:tcW w:type="dxa" w:w="3780"/>
          </w:tcPr>
          <w:p>
            <w:r>
              <w:t>Agent submits TCS with missing required field</w:t>
            </w:r>
          </w:p>
        </w:tc>
        <w:tc>
          <w:tcPr>
            <w:tcW w:type="dxa" w:w="3780"/>
          </w:tcPr>
          <w:p>
            <w:r>
              <w:t>Structured handoff gated pending correction</w:t>
            </w:r>
          </w:p>
        </w:tc>
      </w:tr>
      <w:tr>
        <w:tc>
          <w:tcPr>
            <w:tcW w:type="dxa" w:w="3780"/>
          </w:tcPr>
          <w:p>
            <w:r>
              <w:t>T-020</w:t>
            </w:r>
          </w:p>
        </w:tc>
        <w:tc>
          <w:tcPr>
            <w:tcW w:type="dxa" w:w="3780"/>
          </w:tcPr>
          <w:p>
            <w:r>
              <w:t>TM-023</w:t>
            </w:r>
          </w:p>
        </w:tc>
        <w:tc>
          <w:tcPr>
            <w:tcW w:type="dxa" w:w="3780"/>
          </w:tcPr>
          <w:p>
            <w:r>
              <w:t>Duplicate signing callback / email retry</w:t>
            </w:r>
          </w:p>
        </w:tc>
        <w:tc>
          <w:tcPr>
            <w:tcW w:type="dxa" w:w="3780"/>
          </w:tcPr>
          <w:p>
            <w:r>
              <w:t>Idempotent handler; one business transition</w:t>
            </w:r>
          </w:p>
        </w:tc>
      </w:tr>
      <w:tr>
        <w:tc>
          <w:tcPr>
            <w:tcW w:type="dxa" w:w="3780"/>
          </w:tcPr>
          <w:p>
            <w:r>
              <w:t>T-021</w:t>
            </w:r>
          </w:p>
        </w:tc>
        <w:tc>
          <w:tcPr>
            <w:tcW w:type="dxa" w:w="3780"/>
          </w:tcPr>
          <w:p>
            <w:r>
              <w:t>TM-025</w:t>
            </w:r>
          </w:p>
        </w:tc>
        <w:tc>
          <w:tcPr>
            <w:tcW w:type="dxa" w:w="3780"/>
          </w:tcPr>
          <w:p>
            <w:r>
              <w:t>Listing changes price and is later withdrawn</w:t>
            </w:r>
          </w:p>
        </w:tc>
        <w:tc>
          <w:tcPr>
            <w:tcW w:type="dxa" w:w="3780"/>
          </w:tcPr>
          <w:p>
            <w:r>
              <w:t>Versioned listing terms and documented withdrawal/termination</w:t>
            </w:r>
          </w:p>
        </w:tc>
      </w:tr>
      <w:tr>
        <w:tc>
          <w:tcPr>
            <w:tcW w:type="dxa" w:w="3780"/>
          </w:tcPr>
          <w:p>
            <w:r>
              <w:t>T-022</w:t>
            </w:r>
          </w:p>
        </w:tc>
        <w:tc>
          <w:tcPr>
            <w:tcW w:type="dxa" w:w="3780"/>
          </w:tcPr>
          <w:p>
            <w:r>
              <w:t>TM-028</w:t>
            </w:r>
          </w:p>
        </w:tc>
        <w:tc>
          <w:tcPr>
            <w:tcW w:type="dxa" w:w="3780"/>
          </w:tcPr>
          <w:p>
            <w:r>
              <w:t>Designated representative views opposite-party restricted documents</w:t>
            </w:r>
          </w:p>
        </w:tc>
        <w:tc>
          <w:tcPr>
            <w:tcW w:type="dxa" w:w="3780"/>
          </w:tcPr>
          <w:p>
            <w:r>
              <w:t>Access denied and logged</w:t>
            </w:r>
          </w:p>
        </w:tc>
      </w:tr>
      <w:tr>
        <w:tc>
          <w:tcPr>
            <w:tcW w:type="dxa" w:w="3780"/>
          </w:tcPr>
          <w:p>
            <w:r>
              <w:t>T-023</w:t>
            </w:r>
          </w:p>
        </w:tc>
        <w:tc>
          <w:tcPr>
            <w:tcW w:type="dxa" w:w="3780"/>
          </w:tcPr>
          <w:p>
            <w:r>
              <w:t>TM-027</w:t>
            </w:r>
          </w:p>
        </w:tc>
        <w:tc>
          <w:tcPr>
            <w:tcW w:type="dxa" w:w="3780"/>
          </w:tcPr>
          <w:p>
            <w:r>
              <w:t>Power of sale with bank agreement replacing normal APS</w:t>
            </w:r>
          </w:p>
        </w:tc>
        <w:tc>
          <w:tcPr>
            <w:tcW w:type="dxa" w:w="3780"/>
          </w:tcPr>
          <w:p>
            <w:r>
              <w:t>Bank docs and exceptions reviewed; not silently inherited standard pack</w:t>
            </w:r>
          </w:p>
        </w:tc>
      </w:tr>
      <w:tr>
        <w:tc>
          <w:tcPr>
            <w:tcW w:type="dxa" w:w="3780"/>
          </w:tcPr>
          <w:p>
            <w:r>
              <w:t>T-024</w:t>
            </w:r>
          </w:p>
        </w:tc>
        <w:tc>
          <w:tcPr>
            <w:tcW w:type="dxa" w:w="3780"/>
          </w:tcPr>
          <w:p>
            <w:r>
              <w:t>TM-024</w:t>
            </w:r>
          </w:p>
        </w:tc>
        <w:tc>
          <w:tcPr>
            <w:tcW w:type="dxa" w:w="3780"/>
          </w:tcPr>
          <w:p>
            <w:r>
              <w:t>Agent on phone reviews deadline and uploads required evidence</w:t>
            </w:r>
          </w:p>
        </w:tc>
        <w:tc>
          <w:tcPr>
            <w:tcW w:type="dxa" w:w="3780"/>
          </w:tcPr>
          <w:p>
            <w:r>
              <w:t>Responsive UI, accessible controls and meaningful task status</w:t>
            </w:r>
          </w:p>
        </w:tc>
      </w:tr>
      <w:tr>
        <w:tc>
          <w:tcPr>
            <w:tcW w:type="dxa" w:w="3780"/>
          </w:tcPr>
          <w:p>
            <w:r>
              <w:t>T-025</w:t>
            </w:r>
          </w:p>
        </w:tc>
        <w:tc>
          <w:tcPr>
            <w:tcW w:type="dxa" w:w="3780"/>
          </w:tcPr>
          <w:p>
            <w:r>
              <w:t>TM-029</w:t>
            </w:r>
          </w:p>
        </w:tc>
        <w:tc>
          <w:tcPr>
            <w:tcW w:type="dxa" w:w="3780"/>
          </w:tcPr>
          <w:p>
            <w:r>
              <w:t>Signed amendment invalidates earlier prerequisite</w:t>
            </w:r>
          </w:p>
        </w:tc>
        <w:tc>
          <w:tcPr>
            <w:tcW w:type="dxa" w:w="3780"/>
          </w:tcPr>
          <w:p>
            <w:r>
              <w:t>Dependencies re-evaluated; history preserved</w:t>
            </w:r>
          </w:p>
        </w:tc>
      </w:tr>
      <w:tr>
        <w:tc>
          <w:tcPr>
            <w:tcW w:type="dxa" w:w="3780"/>
          </w:tcPr>
          <w:p>
            <w:r>
              <w:t>T-026</w:t>
            </w:r>
          </w:p>
        </w:tc>
        <w:tc>
          <w:tcPr>
            <w:tcW w:type="dxa" w:w="3780"/>
          </w:tcPr>
          <w:p>
            <w:r>
              <w:t>TM-030</w:t>
            </w:r>
          </w:p>
        </w:tc>
        <w:tc>
          <w:tcPr>
            <w:tcW w:type="dxa" w:w="3780"/>
          </w:tcPr>
          <w:p>
            <w:r>
              <w:t>Deadline reminder delivery fails</w:t>
            </w:r>
          </w:p>
        </w:tc>
        <w:tc>
          <w:tcPr>
            <w:tcW w:type="dxa" w:w="3780"/>
          </w:tcPr>
          <w:p>
            <w:r>
              <w:t>Failure visible and safe retry/escalation recorded</w:t>
            </w:r>
          </w:p>
        </w:tc>
      </w:tr>
    </w:tbl>
    <w:p/>
    <w:p>
      <w:pPr>
        <w:pStyle w:val="Heading1"/>
      </w:pPr>
      <w:r>
        <w:t>4. Market-release gate checklist</w:t>
      </w:r>
    </w:p>
    <w:p>
      <w:pPr>
        <w:pStyle w:val="ListBullet"/>
      </w:pPr>
      <w:r>
        <w:t>Every marketed transaction class has exact applicable forms and current licensed field mappings, conditional branches and exception tests.</w:t>
      </w:r>
    </w:p>
    <w:p>
      <w:pPr>
        <w:pStyle w:val="ListBullet"/>
      </w:pPr>
      <w:r>
        <w:t>RECO/FINTRAC/tenancy source-linked rules checked for production effective dates; legal ambiguities resolved by reviewer and recorded.</w:t>
      </w:r>
    </w:p>
    <w:p>
      <w:pPr>
        <w:pStyle w:val="ListBullet"/>
      </w:pPr>
      <w:r>
        <w:t>Warn-only form-version policy produces visible BOR alerts and explicit unresolved verification state; cannot forge compliance completion.</w:t>
      </w:r>
    </w:p>
    <w:p>
      <w:pPr>
        <w:pStyle w:val="ListBullet"/>
      </w:pPr>
      <w:r>
        <w:t>Both-sides-of-trade permissions independently penetration-tested and client confidentiality preserved.</w:t>
      </w:r>
    </w:p>
    <w:p>
      <w:pPr>
        <w:pStyle w:val="ListBullet"/>
      </w:pPr>
      <w:r>
        <w:t>All e-sign/import failure recovery, counteroffers, time-zone/holiday rules, mobile views and TCS integration verified.</w:t>
      </w:r>
    </w:p>
    <w:p>
      <w:pPr>
        <w:pStyle w:val="ListBullet"/>
      </w:pPr>
      <w:r>
        <w:t>Tenant screening data minimized and human-decision process tested for privacy/fairness compliance.</w:t>
      </w:r>
    </w:p>
    <w:p>
      <w:pPr>
        <w:pStyle w:val="ListBullet"/>
      </w:pPr>
      <w:r>
        <w:t>Support desk, incident response, backup restore and operational monitoring tested and documented.</w:t>
      </w:r>
    </w:p>
    <w:p>
      <w:pPr>
        <w:pStyle w:val="Heading1"/>
      </w:pPr>
      <w:r>
        <w:t>5. Sources and BOR decision ownership</w:t>
      </w:r>
    </w:p>
    <w:p>
      <w:r>
        <w:t>Q01–Q30 are user-authorized product decisions. The October 19 BOR discussion anchors Guided/Freeflow, form intent metadata, clause approach, firm states, offers, amendments, deposits, TCS and retention. Source-backed external checks are identified as REG-01–REG-06. Unresolved legal facts are controlled production gates, not assumed approvals.</w:t>
      </w:r>
    </w:p>
    <w:sectPr w:rsidR="00FC693F" w:rsidRPr="0006063C" w:rsidSect="00034616">
      <w:pgSz w:w="16848" w:h="11952"/>
      <w:pgMar w:top="1008" w:right="864" w:bottom="93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