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KESHAV MEMORIAL ENGINEERING COLLEGE</w:t>
      </w:r>
    </w:p>
    <w:p>
      <w:pPr>
        <w:spacing w:after="40"/>
        <w:jc w:val="center"/>
      </w:pPr>
      <w:r>
        <w:rPr>
          <w:rFonts w:ascii="Times New Roman" w:cs="Times New Roman" w:eastAsia="Times New Roman" w:hAnsi="Times New Roman"/>
          <w:b w:val="false"/>
          <w:bCs w:val="false"/>
          <w:sz w:val="22"/>
          <w:szCs w:val="22"/>
        </w:rPr>
        <w:t xml:space="preserve">(A Unit of Keshav Memorial Technical Educational Society)</w:t>
      </w:r>
    </w:p>
    <w:p>
      <w:pPr>
        <w:spacing w:after="40"/>
        <w:jc w:val="center"/>
      </w:pPr>
      <w:r>
        <w:rPr>
          <w:rFonts w:ascii="Times New Roman" w:cs="Times New Roman" w:eastAsia="Times New Roman" w:hAnsi="Times New Roman"/>
          <w:b w:val="false"/>
          <w:bCs w:val="false"/>
          <w:sz w:val="22"/>
          <w:szCs w:val="22"/>
        </w:rPr>
        <w:t xml:space="preserve">(Approved by AICTE, New Delhi &amp; Affiliated to Osmania University, Hyderabad)</w:t>
      </w:r>
    </w:p>
    <w:p>
      <w:pPr>
        <w:spacing w:after="280"/>
        <w:jc w:val="center"/>
      </w:pPr>
      <w:r>
        <w:rPr>
          <w:rFonts w:ascii="Times New Roman" w:cs="Times New Roman" w:eastAsia="Times New Roman" w:hAnsi="Times New Roman"/>
          <w:b w:val="false"/>
          <w:bCs w:val="false"/>
          <w:sz w:val="22"/>
          <w:szCs w:val="22"/>
        </w:rPr>
        <w:t xml:space="preserve">D.No. 10 TC-111, Kachavanisingaram (V), Ghatkesar (M), Medchal-Malkajgiri, Telangana – 500 088</w:t>
      </w:r>
    </w:p>
    <w:p>
      <w:pPr>
        <w:spacing w:after="100"/>
        <w:jc w:val="center"/>
      </w:pPr>
      <w:r>
        <w:rPr>
          <w:rFonts w:ascii="Times New Roman" w:cs="Times New Roman" w:eastAsia="Times New Roman" w:hAnsi="Times New Roman"/>
          <w:b/>
          <w:bCs/>
          <w:sz w:val="28"/>
          <w:szCs w:val="28"/>
        </w:rPr>
        <w:t xml:space="preserve">A MINI PROJECT REPORT</w:t>
      </w:r>
    </w:p>
    <w:p>
      <w:pPr>
        <w:spacing w:after="100"/>
        <w:jc w:val="center"/>
      </w:pPr>
      <w:r>
        <w:rPr>
          <w:rFonts w:ascii="Times New Roman" w:cs="Times New Roman" w:eastAsia="Times New Roman" w:hAnsi="Times New Roman"/>
          <w:b w:val="false"/>
          <w:bCs w:val="false"/>
          <w:sz w:val="24"/>
          <w:szCs w:val="24"/>
        </w:rPr>
        <w:t xml:space="preserve">on</w:t>
      </w:r>
    </w:p>
    <w:p>
      <w:pPr>
        <w:spacing w:after="220"/>
        <w:jc w:val="center"/>
      </w:pPr>
      <w:r>
        <w:rPr>
          <w:rFonts w:ascii="Times New Roman" w:cs="Times New Roman" w:eastAsia="Times New Roman" w:hAnsi="Times New Roman"/>
          <w:b/>
          <w:bCs/>
          <w:sz w:val="26"/>
          <w:szCs w:val="26"/>
        </w:rPr>
        <w:t xml:space="preserve">DCTM: Diffusion-Based Cyber Threat Modelling for Improved Intrusion Detection Performance</w:t>
      </w:r>
    </w:p>
    <w:p>
      <w:pPr>
        <w:spacing w:after="60"/>
        <w:jc w:val="center"/>
      </w:pPr>
      <w:r>
        <w:rPr>
          <w:rFonts w:ascii="Times New Roman" w:cs="Times New Roman" w:eastAsia="Times New Roman" w:hAnsi="Times New Roman"/>
          <w:b w:val="false"/>
          <w:bCs w:val="false"/>
          <w:sz w:val="24"/>
          <w:szCs w:val="24"/>
        </w:rPr>
        <w:t xml:space="preserve">Submitted to</w:t>
      </w:r>
    </w:p>
    <w:p>
      <w:pPr>
        <w:spacing w:after="100"/>
        <w:jc w:val="center"/>
      </w:pPr>
      <w:r>
        <w:rPr>
          <w:rFonts w:ascii="Times New Roman" w:cs="Times New Roman" w:eastAsia="Times New Roman" w:hAnsi="Times New Roman"/>
          <w:b/>
          <w:bCs/>
          <w:sz w:val="26"/>
          <w:szCs w:val="26"/>
        </w:rPr>
        <w:t xml:space="preserve">OSMANIA UNIVERSITY</w:t>
      </w:r>
    </w:p>
    <w:p>
      <w:pPr>
        <w:spacing w:after="60"/>
        <w:jc w:val="center"/>
      </w:pPr>
      <w:r>
        <w:rPr>
          <w:rFonts w:ascii="Times New Roman" w:cs="Times New Roman" w:eastAsia="Times New Roman" w:hAnsi="Times New Roman"/>
          <w:b w:val="false"/>
          <w:bCs w:val="false"/>
          <w:sz w:val="24"/>
          <w:szCs w:val="24"/>
        </w:rPr>
        <w:t xml:space="preserve">In partial fulfillment of the requirements for the award of</w:t>
      </w:r>
    </w:p>
    <w:p>
      <w:pPr>
        <w:spacing w:after="60"/>
        <w:jc w:val="center"/>
      </w:pPr>
      <w:r>
        <w:rPr>
          <w:rFonts w:ascii="Times New Roman" w:cs="Times New Roman" w:eastAsia="Times New Roman" w:hAnsi="Times New Roman"/>
          <w:b/>
          <w:bCs/>
          <w:sz w:val="26"/>
          <w:szCs w:val="26"/>
        </w:rPr>
        <w:t xml:space="preserve">BACHELOR OF ENGINEERING</w:t>
      </w:r>
    </w:p>
    <w:p>
      <w:pPr>
        <w:spacing w:after="60"/>
        <w:jc w:val="center"/>
      </w:pPr>
      <w:r>
        <w:rPr>
          <w:rFonts w:ascii="Times New Roman" w:cs="Times New Roman" w:eastAsia="Times New Roman" w:hAnsi="Times New Roman"/>
          <w:b w:val="false"/>
          <w:bCs w:val="false"/>
          <w:sz w:val="24"/>
          <w:szCs w:val="24"/>
        </w:rPr>
        <w:t xml:space="preserve">IN</w:t>
      </w:r>
    </w:p>
    <w:p>
      <w:pPr>
        <w:spacing w:after="220"/>
        <w:jc w:val="center"/>
      </w:pPr>
      <w:r>
        <w:rPr>
          <w:rFonts w:ascii="Times New Roman" w:cs="Times New Roman" w:eastAsia="Times New Roman" w:hAnsi="Times New Roman"/>
          <w:b/>
          <w:bCs/>
          <w:sz w:val="26"/>
          <w:szCs w:val="26"/>
        </w:rPr>
        <w:t xml:space="preserve">COMPUTER SCIENCE AND ENGINEERING</w:t>
      </w:r>
    </w:p>
    <w:p>
      <w:pPr>
        <w:spacing w:after="100"/>
        <w:jc w:val="center"/>
      </w:pPr>
      <w:r>
        <w:rPr>
          <w:rFonts w:ascii="Times New Roman" w:cs="Times New Roman" w:eastAsia="Times New Roman" w:hAnsi="Times New Roman"/>
          <w:b w:val="false"/>
          <w:bCs w:val="false"/>
          <w:sz w:val="24"/>
          <w:szCs w:val="24"/>
        </w:rPr>
        <w:t xml:space="preserve">by</w:t>
      </w:r>
    </w:p>
    <w:p>
      <w:pPr>
        <w:spacing w:after="40"/>
        <w:jc w:val="center"/>
      </w:pPr>
      <w:r>
        <w:rPr>
          <w:rFonts w:ascii="Times New Roman" w:cs="Times New Roman" w:eastAsia="Times New Roman" w:hAnsi="Times New Roman"/>
          <w:b/>
          <w:bCs/>
          <w:sz w:val="24"/>
          <w:szCs w:val="24"/>
        </w:rPr>
        <w:t xml:space="preserve">Kasturi Vishnu Vardhan</w:t>
      </w:r>
    </w:p>
    <w:p>
      <w:pPr>
        <w:spacing w:after="80"/>
        <w:jc w:val="center"/>
      </w:pPr>
      <w:r>
        <w:rPr>
          <w:rFonts w:ascii="Times New Roman" w:cs="Times New Roman" w:eastAsia="Times New Roman" w:hAnsi="Times New Roman"/>
          <w:b w:val="false"/>
          <w:bCs w:val="false"/>
          <w:sz w:val="24"/>
          <w:szCs w:val="24"/>
        </w:rPr>
        <w:t xml:space="preserve">245523733160</w:t>
      </w:r>
    </w:p>
    <w:p>
      <w:pPr>
        <w:spacing w:after="40"/>
        <w:jc w:val="center"/>
      </w:pPr>
      <w:r>
        <w:rPr>
          <w:rFonts w:ascii="Times New Roman" w:cs="Times New Roman" w:eastAsia="Times New Roman" w:hAnsi="Times New Roman"/>
          <w:b/>
          <w:bCs/>
          <w:sz w:val="24"/>
          <w:szCs w:val="24"/>
        </w:rPr>
        <w:t xml:space="preserve">Kukunuru Thrinadh Reddy</w:t>
      </w:r>
    </w:p>
    <w:p>
      <w:pPr>
        <w:spacing w:after="80"/>
        <w:jc w:val="center"/>
      </w:pPr>
      <w:r>
        <w:rPr>
          <w:rFonts w:ascii="Times New Roman" w:cs="Times New Roman" w:eastAsia="Times New Roman" w:hAnsi="Times New Roman"/>
          <w:b w:val="false"/>
          <w:bCs w:val="false"/>
          <w:sz w:val="24"/>
          <w:szCs w:val="24"/>
        </w:rPr>
        <w:t xml:space="preserve">245523733163</w:t>
      </w:r>
    </w:p>
    <w:p>
      <w:pPr>
        <w:spacing w:after="40"/>
        <w:jc w:val="center"/>
      </w:pPr>
      <w:r>
        <w:rPr>
          <w:rFonts w:ascii="Times New Roman" w:cs="Times New Roman" w:eastAsia="Times New Roman" w:hAnsi="Times New Roman"/>
          <w:b/>
          <w:bCs/>
          <w:sz w:val="24"/>
          <w:szCs w:val="24"/>
        </w:rPr>
        <w:t xml:space="preserve">Neha Sri Tirunagari</w:t>
      </w:r>
    </w:p>
    <w:p>
      <w:pPr>
        <w:spacing w:after="180"/>
        <w:jc w:val="center"/>
      </w:pPr>
      <w:r>
        <w:rPr>
          <w:rFonts w:ascii="Times New Roman" w:cs="Times New Roman" w:eastAsia="Times New Roman" w:hAnsi="Times New Roman"/>
          <w:b w:val="false"/>
          <w:bCs w:val="false"/>
          <w:sz w:val="24"/>
          <w:szCs w:val="24"/>
        </w:rPr>
        <w:t xml:space="preserve">245523733187</w:t>
      </w:r>
    </w:p>
    <w:p>
      <w:pPr>
        <w:spacing w:after="60"/>
        <w:jc w:val="center"/>
      </w:pPr>
      <w:r>
        <w:rPr>
          <w:rFonts w:ascii="Times New Roman" w:cs="Times New Roman" w:eastAsia="Times New Roman" w:hAnsi="Times New Roman"/>
          <w:b w:val="false"/>
          <w:bCs w:val="false"/>
          <w:sz w:val="24"/>
          <w:szCs w:val="24"/>
        </w:rPr>
        <w:t xml:space="preserve">Under the esteemed guidance of</w:t>
      </w:r>
    </w:p>
    <w:p>
      <w:pPr>
        <w:spacing w:after="40"/>
        <w:jc w:val="center"/>
      </w:pPr>
      <w:r>
        <w:rPr>
          <w:rFonts w:ascii="Times New Roman" w:cs="Times New Roman" w:eastAsia="Times New Roman" w:hAnsi="Times New Roman"/>
          <w:b/>
          <w:bCs/>
          <w:sz w:val="24"/>
          <w:szCs w:val="24"/>
        </w:rPr>
        <w:t xml:space="preserve">Ms. Duddeda Aishwarya</w:t>
      </w:r>
    </w:p>
    <w:p>
      <w:pPr>
        <w:spacing w:after="220"/>
        <w:jc w:val="center"/>
      </w:pPr>
      <w:r>
        <w:rPr>
          <w:rFonts w:ascii="Times New Roman" w:cs="Times New Roman" w:eastAsia="Times New Roman" w:hAnsi="Times New Roman"/>
          <w:b w:val="false"/>
          <w:bCs w:val="false"/>
          <w:sz w:val="24"/>
          <w:szCs w:val="24"/>
        </w:rPr>
        <w:t xml:space="preserve">Assistant Professor, Department of CSE</w:t>
      </w:r>
    </w:p>
    <w:p>
      <w:pPr>
        <w:spacing w:after="60"/>
        <w:jc w:val="center"/>
      </w:pPr>
      <w:r>
        <w:rPr>
          <w:rFonts w:ascii="Times New Roman" w:cs="Times New Roman" w:eastAsia="Times New Roman" w:hAnsi="Times New Roman"/>
          <w:b/>
          <w:bCs/>
          <w:sz w:val="26"/>
          <w:szCs w:val="26"/>
        </w:rPr>
        <w:t xml:space="preserve">DEPARTMENT OF COMPUTER SCIENCE &amp; ENGINEERING</w:t>
      </w:r>
    </w:p>
    <w:p>
      <w:pPr>
        <w:spacing w:after="60"/>
        <w:jc w:val="center"/>
      </w:pPr>
      <w:r>
        <w:rPr>
          <w:rFonts w:ascii="Times New Roman" w:cs="Times New Roman" w:eastAsia="Times New Roman" w:hAnsi="Times New Roman"/>
          <w:b w:val="false"/>
          <w:bCs w:val="false"/>
          <w:sz w:val="24"/>
          <w:szCs w:val="24"/>
        </w:rPr>
        <w:t xml:space="preserve">KESHAV MEMORIAL ENGINEERING COLLEGE, HYDERABAD – 500 088</w:t>
      </w:r>
    </w:p>
    <w:p>
      <w:pPr>
        <w:spacing w:after="0"/>
        <w:jc w:val="center"/>
      </w:pPr>
      <w:r>
        <w:rPr>
          <w:rFonts w:ascii="Times New Roman" w:cs="Times New Roman" w:eastAsia="Times New Roman" w:hAnsi="Times New Roman"/>
          <w:b w:val="false"/>
          <w:bCs w:val="false"/>
          <w:sz w:val="24"/>
          <w:szCs w:val="24"/>
        </w:rPr>
        <w:t xml:space="preserve">Academic Year: 2025–26</w:t>
      </w:r>
    </w:p>
    <w:p>
      <w:r>
        <w:br w:type="page"/>
      </w:r>
    </w:p>
    <w:p>
      <w:pPr>
        <w:spacing w:after="120"/>
        <w:jc w:val="center"/>
      </w:pPr>
      <w:r>
        <w:rPr>
          <w:rFonts w:ascii="Times New Roman" w:cs="Times New Roman" w:eastAsia="Times New Roman" w:hAnsi="Times New Roman"/>
          <w:b/>
          <w:bCs/>
          <w:sz w:val="32"/>
          <w:szCs w:val="32"/>
        </w:rPr>
        <w:t xml:space="preserve">DEPARTMENT OF COMPUTER SCIENCE &amp; ENGINEERING</w:t>
      </w:r>
    </w:p>
    <w:p>
      <w:pPr>
        <w:spacing w:after="200"/>
        <w:jc w:val="center"/>
      </w:pPr>
      <w:r>
        <w:rPr>
          <w:rFonts w:ascii="Times New Roman" w:cs="Times New Roman" w:eastAsia="Times New Roman" w:hAnsi="Times New Roman"/>
          <w:b/>
          <w:bCs/>
          <w:sz w:val="32"/>
          <w:szCs w:val="32"/>
        </w:rPr>
        <w:t xml:space="preserve">CERTIFICATE</w:t>
      </w:r>
    </w:p>
    <w:p>
      <w:pPr>
        <w:spacing w:after="80" w:before="0" w:line="360" w:lineRule="auto"/>
        <w:jc w:val="both"/>
      </w:pPr>
      <w:r>
        <w:rPr>
          <w:rFonts w:ascii="Times New Roman" w:cs="Times New Roman" w:eastAsia="Times New Roman" w:hAnsi="Times New Roman"/>
          <w:sz w:val="24"/>
          <w:szCs w:val="24"/>
        </w:rPr>
        <w:t xml:space="preserve">This is to certify that this is a bonafide record of the project report titled</w:t>
      </w:r>
    </w:p>
    <w:p>
      <w:pPr>
        <w:spacing w:after="80" w:line="360" w:lineRule="auto"/>
        <w:jc w:val="center"/>
      </w:pPr>
      <w:r>
        <w:rPr>
          <w:rFonts w:ascii="Times New Roman" w:cs="Times New Roman" w:eastAsia="Times New Roman" w:hAnsi="Times New Roman"/>
          <w:b/>
          <w:bCs/>
          <w:sz w:val="24"/>
          <w:szCs w:val="24"/>
        </w:rPr>
        <w:t xml:space="preserve">"DCTM: Diffusion-Based Cyber Threat Modelling for Improved Intrusion Detection Performance"</w:t>
      </w:r>
    </w:p>
    <w:p>
      <w:pPr>
        <w:spacing w:after="80" w:before="0" w:line="360" w:lineRule="auto"/>
        <w:jc w:val="both"/>
      </w:pPr>
      <w:r>
        <w:rPr>
          <w:rFonts w:ascii="Times New Roman" w:cs="Times New Roman" w:eastAsia="Times New Roman" w:hAnsi="Times New Roman"/>
          <w:sz w:val="24"/>
          <w:szCs w:val="24"/>
        </w:rPr>
        <w:t xml:space="preserve">which is being presented as the Mini Project Report by</w:t>
      </w:r>
    </w:p>
    <w:p>
      <w:pPr>
        <w:spacing w:line="360" w:lineRule="auto"/>
      </w:pPr>
      <w:r>
        <w:t xml:space="preserve"/>
      </w:r>
    </w:p>
    <w:p>
      <w:pPr>
        <w:spacing w:after="40"/>
        <w:jc w:val="center"/>
      </w:pPr>
      <w:r>
        <w:rPr>
          <w:rFonts w:ascii="Times New Roman" w:cs="Times New Roman" w:eastAsia="Times New Roman" w:hAnsi="Times New Roman"/>
          <w:b/>
          <w:bCs/>
          <w:sz w:val="24"/>
          <w:szCs w:val="24"/>
        </w:rPr>
        <w:t xml:space="preserve">Kasturi Vishnu Vardhan (245523733160)</w:t>
      </w:r>
    </w:p>
    <w:p>
      <w:pPr>
        <w:spacing w:after="40"/>
        <w:jc w:val="center"/>
      </w:pPr>
      <w:r>
        <w:rPr>
          <w:rFonts w:ascii="Times New Roman" w:cs="Times New Roman" w:eastAsia="Times New Roman" w:hAnsi="Times New Roman"/>
          <w:b/>
          <w:bCs/>
          <w:sz w:val="24"/>
          <w:szCs w:val="24"/>
        </w:rPr>
        <w:t xml:space="preserve">Kukunuru Thrinadh Reddy (245523733163)</w:t>
      </w:r>
    </w:p>
    <w:p>
      <w:pPr>
        <w:spacing w:after="120"/>
        <w:jc w:val="center"/>
      </w:pPr>
      <w:r>
        <w:rPr>
          <w:rFonts w:ascii="Times New Roman" w:cs="Times New Roman" w:eastAsia="Times New Roman" w:hAnsi="Times New Roman"/>
          <w:b/>
          <w:bCs/>
          <w:sz w:val="24"/>
          <w:szCs w:val="24"/>
        </w:rPr>
        <w:t xml:space="preserve">Neha Sri Tirunagari (245523733187)</w:t>
      </w:r>
    </w:p>
    <w:p>
      <w:pPr>
        <w:spacing w:after="80" w:before="0" w:line="360" w:lineRule="auto"/>
        <w:jc w:val="both"/>
      </w:pPr>
      <w:r>
        <w:rPr>
          <w:rFonts w:ascii="Times New Roman" w:cs="Times New Roman" w:eastAsia="Times New Roman" w:hAnsi="Times New Roman"/>
          <w:sz w:val="24"/>
          <w:szCs w:val="24"/>
        </w:rPr>
        <w:t xml:space="preserve">in partial fulfillment for the award of the degree of Bachelor of Engineering in Computer Science &amp; Engineering affiliated to Osmania University, Hyderabad.</w:t>
      </w:r>
    </w:p>
    <w:p>
      <w:pPr>
        <w:spacing w:line="360" w:lineRule="auto"/>
      </w:pPr>
      <w:r>
        <w:t xml:space="preserve"/>
      </w:r>
    </w:p>
    <w:p>
      <w:pPr>
        <w:spacing w:after="80" w:before="0" w:line="360" w:lineRule="auto"/>
        <w:jc w:val="both"/>
      </w:pPr>
      <w:r>
        <w:rPr>
          <w:rFonts w:ascii="Times New Roman" w:cs="Times New Roman" w:eastAsia="Times New Roman" w:hAnsi="Times New Roman"/>
          <w:sz w:val="24"/>
          <w:szCs w:val="24"/>
        </w:rPr>
        <w:t xml:space="preserve">Submitted for Viva-Voce Examination held on ___________________________</w:t>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40"/>
      </w:pPr>
      <w:r>
        <w:rPr>
          <w:rFonts w:ascii="Times New Roman" w:cs="Times New Roman" w:eastAsia="Times New Roman" w:hAnsi="Times New Roman"/>
          <w:b/>
          <w:bCs/>
          <w:sz w:val="24"/>
          <w:szCs w:val="24"/>
        </w:rPr>
        <w:t xml:space="preserve">Ms. Duddeda Aishwarya</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External Examiner</w:t>
      </w:r>
    </w:p>
    <w:p>
      <w:pPr>
        <w:spacing w:after="240"/>
      </w:pPr>
      <w:r>
        <w:rPr>
          <w:rFonts w:ascii="Times New Roman" w:cs="Times New Roman" w:eastAsia="Times New Roman" w:hAnsi="Times New Roman"/>
          <w:sz w:val="24"/>
          <w:szCs w:val="24"/>
        </w:rPr>
        <w:t xml:space="preserve">Faculty Supervisor / Project Guide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_____________________</w:t>
      </w:r>
    </w:p>
    <w:p>
      <w:pPr>
        <w:spacing w:after="80" w:before="0" w:line="360" w:lineRule="auto"/>
        <w:jc w:val="both"/>
      </w:pPr>
      <w:r>
        <w:rPr>
          <w:rFonts w:ascii="Times New Roman" w:cs="Times New Roman" w:eastAsia="Times New Roman" w:hAnsi="Times New Roman"/>
          <w:sz w:val="24"/>
          <w:szCs w:val="24"/>
        </w:rPr>
        <w:t xml:space="preserve">HOD – Department of Computer Science &amp; Engineering</w:t>
      </w:r>
    </w:p>
    <w:p>
      <w:r>
        <w:br w:type="page"/>
      </w:r>
    </w:p>
    <w:p>
      <w:pPr>
        <w:pStyle w:val="Heading1"/>
        <w:spacing w:after="240" w:before="240" w:line="360" w:lineRule="auto"/>
        <w:jc w:val="center"/>
      </w:pPr>
      <w:r>
        <w:rPr>
          <w:rFonts w:ascii="Times New Roman" w:cs="Times New Roman" w:eastAsia="Times New Roman" w:hAnsi="Times New Roman"/>
          <w:b/>
          <w:bCs/>
          <w:sz w:val="32"/>
          <w:szCs w:val="32"/>
        </w:rPr>
        <w:t xml:space="preserve">DECLARATION</w:t>
      </w:r>
    </w:p>
    <w:p>
      <w:pPr>
        <w:spacing w:after="80" w:before="0" w:line="360" w:lineRule="auto"/>
        <w:jc w:val="both"/>
      </w:pPr>
      <w:r>
        <w:rPr>
          <w:rFonts w:ascii="Times New Roman" w:cs="Times New Roman" w:eastAsia="Times New Roman" w:hAnsi="Times New Roman"/>
          <w:sz w:val="24"/>
          <w:szCs w:val="24"/>
        </w:rPr>
        <w:t xml:space="preserve">We hereby declare that the results embodied in this document entitled "DCTM: Diffusion-Based Cyber Threat Modelling for Improved Intrusion Detection Performance" have been carried out by us together during the academic year 2025–26 in partial fulfillment for the award of the Bachelor of Engineering degree in Computer Science &amp; Engineering under Osmania University, Hyderabad.</w:t>
      </w:r>
    </w:p>
    <w:p>
      <w:pPr>
        <w:spacing w:line="360" w:lineRule="auto"/>
      </w:pPr>
      <w:r>
        <w:t xml:space="preserve"/>
      </w:r>
    </w:p>
    <w:p>
      <w:pPr>
        <w:spacing w:after="80" w:before="0" w:line="360" w:lineRule="auto"/>
        <w:jc w:val="both"/>
      </w:pPr>
      <w:r>
        <w:rPr>
          <w:rFonts w:ascii="Times New Roman" w:cs="Times New Roman" w:eastAsia="Times New Roman" w:hAnsi="Times New Roman"/>
          <w:sz w:val="24"/>
          <w:szCs w:val="24"/>
        </w:rPr>
        <w:t xml:space="preserve">We further declare that the work reported in this project has not been submitted, either in part or in full, for the award of any other degree or diploma in this or any other institution or university.</w:t>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60"/>
      </w:pPr>
      <w:r>
        <w:rPr>
          <w:rFonts w:ascii="Times New Roman" w:cs="Times New Roman" w:eastAsia="Times New Roman" w:hAnsi="Times New Roman"/>
          <w:sz w:val="24"/>
          <w:szCs w:val="24"/>
        </w:rPr>
        <w:t xml:space="preserve">Kasturi Vishnu Vardhan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245523733160</w:t>
      </w:r>
    </w:p>
    <w:p>
      <w:pPr>
        <w:spacing w:after="60"/>
      </w:pPr>
      <w:r>
        <w:rPr>
          <w:rFonts w:ascii="Times New Roman" w:cs="Times New Roman" w:eastAsia="Times New Roman" w:hAnsi="Times New Roman"/>
          <w:sz w:val="24"/>
          <w:szCs w:val="24"/>
        </w:rPr>
        <w:t xml:space="preserve">Kukunuru Thrinadh Reddy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245523733163</w:t>
      </w:r>
    </w:p>
    <w:p>
      <w:pPr>
        <w:spacing w:after="60"/>
      </w:pPr>
      <w:r>
        <w:rPr>
          <w:rFonts w:ascii="Times New Roman" w:cs="Times New Roman" w:eastAsia="Times New Roman" w:hAnsi="Times New Roman"/>
          <w:sz w:val="24"/>
          <w:szCs w:val="24"/>
        </w:rPr>
        <w:t xml:space="preserve">Neha Sri Tirunagari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245523733187</w:t>
      </w:r>
    </w:p>
    <w:p>
      <w:r>
        <w:br w:type="page"/>
      </w:r>
    </w:p>
    <w:p>
      <w:pPr>
        <w:pStyle w:val="Heading1"/>
        <w:spacing w:after="240" w:before="240" w:line="360" w:lineRule="auto"/>
        <w:jc w:val="center"/>
      </w:pPr>
      <w:r>
        <w:rPr>
          <w:rFonts w:ascii="Times New Roman" w:cs="Times New Roman" w:eastAsia="Times New Roman" w:hAnsi="Times New Roman"/>
          <w:b/>
          <w:bCs/>
          <w:sz w:val="32"/>
          <w:szCs w:val="32"/>
        </w:rPr>
        <w:t xml:space="preserve">ACKNOWLEDGEMENT</w:t>
      </w:r>
    </w:p>
    <w:p>
      <w:pPr>
        <w:spacing w:after="80" w:before="0" w:line="360" w:lineRule="auto"/>
        <w:jc w:val="both"/>
      </w:pPr>
      <w:r>
        <w:rPr>
          <w:rFonts w:ascii="Times New Roman" w:cs="Times New Roman" w:eastAsia="Times New Roman" w:hAnsi="Times New Roman"/>
          <w:sz w:val="24"/>
          <w:szCs w:val="24"/>
        </w:rPr>
        <w:t xml:space="preserve">We take this opportunity to thank all the people who have rendered their full support to our project work. We render our thanks to the Principal, Keshav Memorial Engineering College, who encouraged us to undertake this project.</w:t>
      </w:r>
    </w:p>
    <w:p>
      <w:pPr>
        <w:spacing w:line="360" w:lineRule="auto"/>
      </w:pPr>
      <w:r>
        <w:t xml:space="preserve"/>
      </w:r>
    </w:p>
    <w:p>
      <w:pPr>
        <w:spacing w:after="80" w:before="0" w:line="360" w:lineRule="auto"/>
        <w:jc w:val="both"/>
      </w:pPr>
      <w:r>
        <w:rPr>
          <w:rFonts w:ascii="Times New Roman" w:cs="Times New Roman" w:eastAsia="Times New Roman" w:hAnsi="Times New Roman"/>
          <w:sz w:val="24"/>
          <w:szCs w:val="24"/>
        </w:rPr>
        <w:t xml:space="preserve">We express our sincere gratitude to the Heads of the Department, Dr. CH. Rathan Kumar and Dr. P. Bala Krishna, for providing an excellent environment and the necessary time to make this project a success within the given schedule.</w:t>
      </w:r>
    </w:p>
    <w:p>
      <w:pPr>
        <w:spacing w:line="360" w:lineRule="auto"/>
      </w:pPr>
      <w:r>
        <w:t xml:space="preserve"/>
      </w:r>
    </w:p>
    <w:p>
      <w:pPr>
        <w:spacing w:after="80" w:before="0" w:line="360" w:lineRule="auto"/>
        <w:jc w:val="both"/>
      </w:pPr>
      <w:r>
        <w:rPr>
          <w:rFonts w:ascii="Times New Roman" w:cs="Times New Roman" w:eastAsia="Times New Roman" w:hAnsi="Times New Roman"/>
          <w:sz w:val="24"/>
          <w:szCs w:val="24"/>
        </w:rPr>
        <w:t xml:space="preserve">We extend our heartfelt thanks to our Faculty Supervisor and Project Guide, Ms. Duddeda Aishwarya, Assistant Professor, Department of CSE, for her invaluable guidance, constant encouragement, and motivation throughout this project work.</w:t>
      </w:r>
    </w:p>
    <w:p>
      <w:pPr>
        <w:spacing w:line="360" w:lineRule="auto"/>
      </w:pPr>
      <w:r>
        <w:t xml:space="preserve"/>
      </w:r>
    </w:p>
    <w:p>
      <w:pPr>
        <w:spacing w:after="80" w:before="0" w:line="360" w:lineRule="auto"/>
        <w:jc w:val="both"/>
      </w:pPr>
      <w:r>
        <w:rPr>
          <w:rFonts w:ascii="Times New Roman" w:cs="Times New Roman" w:eastAsia="Times New Roman" w:hAnsi="Times New Roman"/>
          <w:sz w:val="24"/>
          <w:szCs w:val="24"/>
        </w:rPr>
        <w:t xml:space="preserve">We sincerely thank the entire CSE Department faculty who helped us directly or indirectly in the completion of this project, and our friends and family for their constant support.</w:t>
      </w:r>
    </w:p>
    <w:p>
      <w:pPr>
        <w:spacing w:line="360" w:lineRule="auto"/>
      </w:pPr>
      <w:r>
        <w:t xml:space="preserve"/>
      </w:r>
    </w:p>
    <w:p>
      <w:pPr>
        <w:spacing w:line="360" w:lineRule="auto"/>
      </w:pPr>
      <w:r>
        <w:t xml:space="preserve"/>
      </w:r>
    </w:p>
    <w:p>
      <w:pPr>
        <w:spacing w:line="360" w:lineRule="auto"/>
      </w:pPr>
      <w:r>
        <w:t xml:space="preserve"/>
      </w:r>
    </w:p>
    <w:p>
      <w:pPr>
        <w:spacing w:line="360" w:lineRule="auto"/>
      </w:pPr>
      <w:r>
        <w:t xml:space="preserve"/>
      </w:r>
    </w:p>
    <w:p>
      <w:pPr>
        <w:spacing w:after="60"/>
      </w:pPr>
      <w:r>
        <w:rPr>
          <w:rFonts w:ascii="Times New Roman" w:cs="Times New Roman" w:eastAsia="Times New Roman" w:hAnsi="Times New Roman"/>
          <w:sz w:val="24"/>
          <w:szCs w:val="24"/>
        </w:rPr>
        <w:t xml:space="preserve">Kasturi Vishnu Vardhan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245523733160</w:t>
      </w:r>
    </w:p>
    <w:p>
      <w:pPr>
        <w:spacing w:after="60"/>
      </w:pPr>
      <w:r>
        <w:rPr>
          <w:rFonts w:ascii="Times New Roman" w:cs="Times New Roman" w:eastAsia="Times New Roman" w:hAnsi="Times New Roman"/>
          <w:sz w:val="24"/>
          <w:szCs w:val="24"/>
        </w:rPr>
        <w:t xml:space="preserve">Kukunuru Thrinadh Reddy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245523733163</w:t>
      </w:r>
    </w:p>
    <w:p>
      <w:pPr>
        <w:spacing w:after="60"/>
      </w:pPr>
      <w:r>
        <w:rPr>
          <w:rFonts w:ascii="Times New Roman" w:cs="Times New Roman" w:eastAsia="Times New Roman" w:hAnsi="Times New Roman"/>
          <w:sz w:val="24"/>
          <w:szCs w:val="24"/>
        </w:rPr>
        <w:t xml:space="preserve">Neha Sri Tirunagari</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245523733187</w:t>
      </w:r>
    </w:p>
    <w:p>
      <w:r>
        <w:br w:type="page"/>
      </w:r>
    </w:p>
    <w:p>
      <w:pPr>
        <w:pStyle w:val="Heading1"/>
        <w:spacing w:after="240" w:before="240" w:line="360" w:lineRule="auto"/>
        <w:jc w:val="center"/>
      </w:pPr>
      <w:r>
        <w:rPr>
          <w:rFonts w:ascii="Times New Roman" w:cs="Times New Roman" w:eastAsia="Times New Roman" w:hAnsi="Times New Roman"/>
          <w:b/>
          <w:bCs/>
          <w:sz w:val="32"/>
          <w:szCs w:val="32"/>
        </w:rPr>
        <w:t xml:space="preserve">ABSTRACT</w:t>
      </w:r>
    </w:p>
    <w:p>
      <w:pPr>
        <w:spacing w:after="80" w:before="0" w:line="360" w:lineRule="auto"/>
        <w:jc w:val="both"/>
      </w:pPr>
      <w:r>
        <w:rPr>
          <w:rFonts w:ascii="Times New Roman" w:cs="Times New Roman" w:eastAsia="Times New Roman" w:hAnsi="Times New Roman"/>
          <w:sz w:val="24"/>
          <w:szCs w:val="24"/>
        </w:rPr>
        <w:t xml:space="preserve">Machine learning-based Network Intrusion Detection Systems (IDS) remain highly vulnerable to adversarial traffic. While existing frameworks like DEMGAN utilize multi-generator Wasserstein GANs to achieve an average evasion rate of 97.42% on the CICIDS2017 dataset, they face three critical limitations: a restrictive feature set limited to 10 Mutual Information-ranked features, GAN training instability that produces low-quality adversarial samples against linear classifiers, and unaddressed dataset class imbalance.</w:t>
      </w:r>
    </w:p>
    <w:p>
      <w:pPr>
        <w:spacing w:line="360" w:lineRule="auto"/>
      </w:pPr>
      <w:r>
        <w:t xml:space="preserve"/>
      </w:r>
    </w:p>
    <w:p>
      <w:pPr>
        <w:spacing w:after="80" w:before="0" w:line="360" w:lineRule="auto"/>
        <w:jc w:val="both"/>
      </w:pPr>
      <w:r>
        <w:rPr>
          <w:rFonts w:ascii="Times New Roman" w:cs="Times New Roman" w:eastAsia="Times New Roman" w:hAnsi="Times New Roman"/>
          <w:sz w:val="24"/>
          <w:szCs w:val="24"/>
        </w:rPr>
        <w:t xml:space="preserve">This project proposes DCTM (Diffusion-Based Cyber Threat Modelling), a Tabular Diffusion-based Adversarial Framework that overcomes these bottlenecks through three key contributions: (i) a Transformer-based Denoising Diffusion Probabilistic Model (DDPM) that replaces the unstable GAN generator, producing higher-fidelity adversarial samples with stable, principled training; (ii) a hybrid Mutual Information and SHAP-based feature selection expanding the feature set from 10 to 20 attributes; and (iii) SMOTE integration for class balancing prior to IDS training.</w:t>
      </w:r>
    </w:p>
    <w:p>
      <w:pPr>
        <w:spacing w:line="360" w:lineRule="auto"/>
      </w:pPr>
      <w:r>
        <w:t xml:space="preserve"/>
      </w:r>
    </w:p>
    <w:p>
      <w:pPr>
        <w:spacing w:after="80" w:before="0" w:line="360" w:lineRule="auto"/>
        <w:jc w:val="both"/>
      </w:pPr>
      <w:r>
        <w:rPr>
          <w:rFonts w:ascii="Times New Roman" w:cs="Times New Roman" w:eastAsia="Times New Roman" w:hAnsi="Times New Roman"/>
          <w:sz w:val="24"/>
          <w:szCs w:val="24"/>
        </w:rPr>
        <w:t xml:space="preserve">DCTM is evaluated against ten ML/DL IDS classifiers — Decision Tree, Naive Bayes, Logistic Regression, Random Forest, XGBoost, SVM, MLP, CNN, RNN, and CNN-BiLSTM — on CICIDS2017. The DCTM feature set improves clean classification accuracy by up to 25.7% over the baseline. Adversarial evasion achieves 100% evasion against SVM and 93.56% against Naive Bayes. After adversarial retraining, Random Forest achieves 99.44% clean accuracy and 95.52% adversarial accuracy (0% evasion rate), surpassing the DEMGAN retraining defense benchmark.</w:t>
      </w:r>
    </w:p>
    <w:p>
      <w:pPr>
        <w:spacing w:line="360" w:lineRule="auto"/>
      </w:pPr>
      <w:r>
        <w:t xml:space="preserve"/>
      </w:r>
    </w:p>
    <w:p>
      <w:pPr>
        <w:spacing w:after="80" w:line="360" w:lineRule="auto"/>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Adversarial Examples, IDS, Tabular Diffusion, DDPM, Transformer, SHAP, Mutual Information, SMOTE, Evasion Attack, CICIDS2017.</w:t>
      </w:r>
    </w:p>
    <w:p>
      <w:r>
        <w:br w:type="page"/>
      </w:r>
    </w:p>
    <w:p>
      <w:pPr>
        <w:pStyle w:val="Heading1"/>
        <w:spacing w:after="240" w:before="240" w:line="360" w:lineRule="auto"/>
        <w:jc w:val="center"/>
      </w:pPr>
      <w:r>
        <w:rPr>
          <w:rFonts w:ascii="Times New Roman" w:cs="Times New Roman" w:eastAsia="Times New Roman" w:hAnsi="Times New Roman"/>
          <w:b/>
          <w:bCs/>
          <w:sz w:val="32"/>
          <w:szCs w:val="32"/>
        </w:rPr>
        <w:t xml:space="preserve">LIST OF FIGURES</w:t>
      </w:r>
    </w:p>
    <w:p>
      <w:pPr>
        <w:tabs>
          <w:tab w:val="right" w:pos="9638"/>
        </w:tabs>
        <w:spacing w:after="60"/>
      </w:pPr>
      <w:r>
        <w:rPr>
          <w:rFonts w:ascii="Times New Roman" w:cs="Times New Roman" w:eastAsia="Times New Roman" w:hAnsi="Times New Roman"/>
          <w:sz w:val="24"/>
          <w:szCs w:val="24"/>
        </w:rPr>
        <w:t xml:space="preserve">Fig. 3.1: Overall System Architecture of DCTM</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9638"/>
        </w:tabs>
        <w:spacing w:after="60"/>
      </w:pPr>
      <w:r>
        <w:rPr>
          <w:rFonts w:ascii="Times New Roman" w:cs="Times New Roman" w:eastAsia="Times New Roman" w:hAnsi="Times New Roman"/>
          <w:sz w:val="24"/>
          <w:szCs w:val="24"/>
        </w:rPr>
        <w:t xml:space="preserve">Fig. 3.2: Diffusion Forward and Reverse Process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9638"/>
        </w:tabs>
        <w:spacing w:after="60"/>
      </w:pPr>
      <w:r>
        <w:rPr>
          <w:rFonts w:ascii="Times New Roman" w:cs="Times New Roman" w:eastAsia="Times New Roman" w:hAnsi="Times New Roman"/>
          <w:sz w:val="24"/>
          <w:szCs w:val="24"/>
        </w:rPr>
        <w:t xml:space="preserve">Fig. 4.1: Class Distribution Before and After SMOTE (CICIDS2017)</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w:t>
      </w:r>
    </w:p>
    <w:p>
      <w:pPr>
        <w:tabs>
          <w:tab w:val="right" w:pos="9638"/>
        </w:tabs>
        <w:spacing w:after="60"/>
      </w:pPr>
      <w:r>
        <w:rPr>
          <w:rFonts w:ascii="Times New Roman" w:cs="Times New Roman" w:eastAsia="Times New Roman" w:hAnsi="Times New Roman"/>
          <w:sz w:val="24"/>
          <w:szCs w:val="24"/>
        </w:rPr>
        <w:t xml:space="preserve">Fig. 4.2: Mutual Information Feature Ranking — Top 20 Features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4</w:t>
      </w:r>
    </w:p>
    <w:p>
      <w:pPr>
        <w:tabs>
          <w:tab w:val="right" w:pos="9638"/>
        </w:tabs>
        <w:spacing w:after="60"/>
      </w:pPr>
      <w:r>
        <w:rPr>
          <w:rFonts w:ascii="Times New Roman" w:cs="Times New Roman" w:eastAsia="Times New Roman" w:hAnsi="Times New Roman"/>
          <w:sz w:val="24"/>
          <w:szCs w:val="24"/>
        </w:rPr>
        <w:t xml:space="preserve">Fig. 5.1: Adversarial Evasion Rate per IDS Model (DEMGAN ref. 0.9742)</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9638"/>
        </w:tabs>
        <w:spacing w:after="60"/>
      </w:pPr>
      <w:r>
        <w:rPr>
          <w:rFonts w:ascii="Times New Roman" w:cs="Times New Roman" w:eastAsia="Times New Roman" w:hAnsi="Times New Roman"/>
          <w:sz w:val="24"/>
          <w:szCs w:val="24"/>
        </w:rPr>
        <w:t xml:space="preserve">Fig. 5.2: Retraining Impact: Evasion Rate Before vs. After</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9638"/>
        </w:tabs>
        <w:spacing w:after="60"/>
      </w:pPr>
      <w:r>
        <w:rPr>
          <w:rFonts w:ascii="Times New Roman" w:cs="Times New Roman" w:eastAsia="Times New Roman" w:hAnsi="Times New Roman"/>
          <w:sz w:val="24"/>
          <w:szCs w:val="24"/>
        </w:rPr>
        <w:t xml:space="preserve">Fig. 5.3: Confusion Matrix — Random Forest (Post-Retraining)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9638"/>
        </w:tabs>
        <w:spacing w:after="60"/>
      </w:pPr>
      <w:r>
        <w:rPr>
          <w:rFonts w:ascii="Times New Roman" w:cs="Times New Roman" w:eastAsia="Times New Roman" w:hAnsi="Times New Roman"/>
          <w:sz w:val="24"/>
          <w:szCs w:val="24"/>
        </w:rPr>
        <w:t xml:space="preserve">Fig. 5.4: Confusion Matrix — XGBoost (Post-Retraining)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9638"/>
        </w:tabs>
        <w:spacing w:after="60"/>
      </w:pPr>
      <w:r>
        <w:rPr>
          <w:rFonts w:ascii="Times New Roman" w:cs="Times New Roman" w:eastAsia="Times New Roman" w:hAnsi="Times New Roman"/>
          <w:sz w:val="24"/>
          <w:szCs w:val="24"/>
        </w:rPr>
        <w:t xml:space="preserve">Fig. 5.5: Confusion Matrix — Decision Tree (Post-Retraining)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9638"/>
        </w:tabs>
        <w:spacing w:after="60"/>
      </w:pPr>
      <w:r>
        <w:rPr>
          <w:rFonts w:ascii="Times New Roman" w:cs="Times New Roman" w:eastAsia="Times New Roman" w:hAnsi="Times New Roman"/>
          <w:sz w:val="24"/>
          <w:szCs w:val="24"/>
        </w:rPr>
        <w:t xml:space="preserve">Fig. 5.6: Confusion Matrix — CNN-BiLSTM (Post-Retraining)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r>
        <w:br w:type="page"/>
      </w:r>
    </w:p>
    <w:p>
      <w:pPr>
        <w:pStyle w:val="Heading1"/>
        <w:spacing w:after="240" w:before="240" w:line="360" w:lineRule="auto"/>
        <w:jc w:val="center"/>
      </w:pPr>
      <w:r>
        <w:rPr>
          <w:rFonts w:ascii="Times New Roman" w:cs="Times New Roman" w:eastAsia="Times New Roman" w:hAnsi="Times New Roman"/>
          <w:b/>
          <w:bCs/>
          <w:sz w:val="32"/>
          <w:szCs w:val="32"/>
        </w:rPr>
        <w:t xml:space="preserve">LIST OF TABLES</w:t>
      </w:r>
    </w:p>
    <w:p>
      <w:pPr>
        <w:tabs>
          <w:tab w:val="right" w:pos="9638"/>
        </w:tabs>
        <w:spacing w:after="60"/>
      </w:pPr>
      <w:r>
        <w:rPr>
          <w:rFonts w:ascii="Times New Roman" w:cs="Times New Roman" w:eastAsia="Times New Roman" w:hAnsi="Times New Roman"/>
          <w:sz w:val="24"/>
          <w:szCs w:val="24"/>
        </w:rPr>
        <w:t xml:space="preserve">Table 2.1: Comparison of Adversarial Attack Methods in IDS Literature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2</w:t>
      </w:r>
    </w:p>
    <w:p>
      <w:pPr>
        <w:tabs>
          <w:tab w:val="right" w:pos="9638"/>
        </w:tabs>
        <w:spacing w:after="60"/>
      </w:pPr>
      <w:r>
        <w:rPr>
          <w:rFonts w:ascii="Times New Roman" w:cs="Times New Roman" w:eastAsia="Times New Roman" w:hAnsi="Times New Roman"/>
          <w:sz w:val="24"/>
          <w:szCs w:val="24"/>
        </w:rPr>
        <w:t xml:space="preserve">Table 3.1: CICIDS2017 Dataset Summary</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9638"/>
        </w:tabs>
        <w:spacing w:after="60"/>
      </w:pPr>
      <w:r>
        <w:rPr>
          <w:rFonts w:ascii="Times New Roman" w:cs="Times New Roman" w:eastAsia="Times New Roman" w:hAnsi="Times New Roman"/>
          <w:sz w:val="24"/>
          <w:szCs w:val="24"/>
        </w:rPr>
        <w:t xml:space="preserve">Table 3.2: DCTM Feature Set — 20 Selected Features</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3</w:t>
      </w:r>
    </w:p>
    <w:p>
      <w:pPr>
        <w:tabs>
          <w:tab w:val="right" w:pos="9638"/>
        </w:tabs>
        <w:spacing w:after="60"/>
      </w:pPr>
      <w:r>
        <w:rPr>
          <w:rFonts w:ascii="Times New Roman" w:cs="Times New Roman" w:eastAsia="Times New Roman" w:hAnsi="Times New Roman"/>
          <w:sz w:val="24"/>
          <w:szCs w:val="24"/>
        </w:rPr>
        <w:t xml:space="preserve">Table 5.1: IDS Baseline Performance — DCTM vs. Baseline Feature Set</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9638"/>
        </w:tabs>
        <w:spacing w:after="60"/>
      </w:pPr>
      <w:r>
        <w:rPr>
          <w:rFonts w:ascii="Times New Roman" w:cs="Times New Roman" w:eastAsia="Times New Roman" w:hAnsi="Times New Roman"/>
          <w:sz w:val="24"/>
          <w:szCs w:val="24"/>
        </w:rPr>
        <w:t xml:space="preserve">Table 5.2: Adversarial Evasion Results Before Retraining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9638"/>
        </w:tabs>
        <w:spacing w:after="60"/>
      </w:pPr>
      <w:r>
        <w:rPr>
          <w:rFonts w:ascii="Times New Roman" w:cs="Times New Roman" w:eastAsia="Times New Roman" w:hAnsi="Times New Roman"/>
          <w:sz w:val="24"/>
          <w:szCs w:val="24"/>
        </w:rPr>
        <w:t xml:space="preserve">Table 5.3: IDS Performance After Adversarial Retraining</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pPr>
        <w:tabs>
          <w:tab w:val="right" w:pos="9638"/>
        </w:tabs>
        <w:spacing w:after="60"/>
      </w:pPr>
      <w:r>
        <w:rPr>
          <w:rFonts w:ascii="Times New Roman" w:cs="Times New Roman" w:eastAsia="Times New Roman" w:hAnsi="Times New Roman"/>
          <w:sz w:val="24"/>
          <w:szCs w:val="24"/>
        </w:rPr>
        <w:t xml:space="preserve">Table 5.4: Comparison of DCTM with DEMGAN</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5</w:t>
      </w:r>
    </w:p>
    <w:p>
      <w:r>
        <w:br w:type="page"/>
      </w:r>
    </w:p>
    <w:p>
      <w:pPr>
        <w:sectPr>
          <w:footerReference w:type="default" r:id="rId7"/>
          <w:pgSz w:w="11906" w:h="16838" w:orient="portrait"/>
          <w:pgMar w:top="1134" w:right="1134" w:bottom="851" w:left="1134" w:header="708" w:footer="708" w:gutter="0"/>
          <w:pgNumType w:start="1" w:fmt="lowerRoman"/>
          <w:docGrid w:linePitch="360"/>
        </w:sectPr>
      </w:pPr>
    </w:p>
    <w:p>
      <w:pPr>
        <w:pStyle w:val="Heading1"/>
        <w:spacing w:after="240" w:before="240" w:line="360" w:lineRule="auto"/>
        <w:jc w:val="center"/>
      </w:pPr>
      <w:r>
        <w:rPr>
          <w:rFonts w:ascii="Times New Roman" w:cs="Times New Roman" w:eastAsia="Times New Roman" w:hAnsi="Times New Roman"/>
          <w:b/>
          <w:bCs/>
          <w:sz w:val="32"/>
          <w:szCs w:val="32"/>
        </w:rPr>
        <w:t xml:space="preserve">CHAPTER 1: INTRODUCTION</w:t>
      </w:r>
    </w:p>
    <w:p>
      <w:pPr>
        <w:pStyle w:val="Heading2"/>
        <w:spacing w:after="100" w:before="200" w:line="360" w:lineRule="auto"/>
        <w:jc w:val="left"/>
      </w:pPr>
      <w:r>
        <w:rPr>
          <w:rFonts w:ascii="Times New Roman" w:cs="Times New Roman" w:eastAsia="Times New Roman" w:hAnsi="Times New Roman"/>
          <w:b/>
          <w:bCs/>
          <w:sz w:val="28"/>
          <w:szCs w:val="28"/>
        </w:rPr>
        <w:t xml:space="preserve">1.1  Background</w:t>
      </w:r>
    </w:p>
    <w:p>
      <w:pPr>
        <w:spacing w:after="80" w:before="0" w:line="360" w:lineRule="auto"/>
        <w:jc w:val="both"/>
      </w:pPr>
      <w:r>
        <w:rPr>
          <w:rFonts w:ascii="Times New Roman" w:cs="Times New Roman" w:eastAsia="Times New Roman" w:hAnsi="Times New Roman"/>
          <w:sz w:val="24"/>
          <w:szCs w:val="24"/>
        </w:rPr>
        <w:t xml:space="preserve">With the rapid growth of internet-connected systems, network security has become a critical concern. Network Intrusion Detection Systems (IDS) serve as a frontline defense mechanism that monitors network traffic and identifies suspicious or malicious activity. Modern IDS solutions leverage machine learning (ML) and deep learning (DL) models that learn from historical traffic data to classify packets as either benign or malicious.</w:t>
      </w:r>
    </w:p>
    <w:p>
      <w:pPr>
        <w:spacing w:after="80" w:before="0" w:line="360" w:lineRule="auto"/>
        <w:jc w:val="both"/>
      </w:pPr>
      <w:r>
        <w:rPr>
          <w:rFonts w:ascii="Times New Roman" w:cs="Times New Roman" w:eastAsia="Times New Roman" w:hAnsi="Times New Roman"/>
          <w:sz w:val="24"/>
          <w:szCs w:val="24"/>
        </w:rPr>
        <w:t xml:space="preserve">Despite their effectiveness against known attack patterns, ML-based IDS are inherently susceptible to adversarial attacks — carefully crafted inputs that cause a classifier to make incorrect predictions. An attacker who understands the feature space of a target IDS can perturb malicious network traffic just enough to cross the decision boundary, causing the IDS to label malicious traffic as benign. This vulnerability, known as adversarial evasion, represents a serious and growing threat to network security infrastructure.</w:t>
      </w:r>
    </w:p>
    <w:p>
      <w:pPr>
        <w:pStyle w:val="Heading2"/>
        <w:spacing w:after="100" w:before="200" w:line="360" w:lineRule="auto"/>
        <w:jc w:val="left"/>
      </w:pPr>
      <w:r>
        <w:rPr>
          <w:rFonts w:ascii="Times New Roman" w:cs="Times New Roman" w:eastAsia="Times New Roman" w:hAnsi="Times New Roman"/>
          <w:b/>
          <w:bCs/>
          <w:sz w:val="28"/>
          <w:szCs w:val="28"/>
        </w:rPr>
        <w:t xml:space="preserve">1.2  Motivation</w:t>
      </w:r>
    </w:p>
    <w:p>
      <w:pPr>
        <w:spacing w:after="80" w:before="0" w:line="360" w:lineRule="auto"/>
        <w:jc w:val="both"/>
      </w:pPr>
      <w:r>
        <w:rPr>
          <w:rFonts w:ascii="Times New Roman" w:cs="Times New Roman" w:eastAsia="Times New Roman" w:hAnsi="Times New Roman"/>
          <w:sz w:val="24"/>
          <w:szCs w:val="24"/>
        </w:rPr>
        <w:t xml:space="preserve">The DEMGAN framework (Xu et al., 2025) [1] demonstrated that Wasserstein GAN-based adversarial generation can achieve average evasion rates of 97.42% on CICIDS2017. While a significant contribution, DEMGAN has three notable limitations that motivate this work:</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Feature selection is restricted to 10 features using Mutual Information only, ignoring 69+ potentially informative network traffic attributes and their interaction effects.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The GAN-based generator suffers from training instability and mode collapse, producing low-diversity adversarial samples with poor performance against linear classifiers such as Decision Trees and Logistic Regression.</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Dataset class imbalance in CICIDS2017 is not addressed before IDS training, causing models to underfit minority attack classes.</w:t>
      </w:r>
    </w:p>
    <w:p>
      <w:pPr>
        <w:spacing w:line="360" w:lineRule="auto"/>
      </w:pPr>
      <w:r>
        <w:t xml:space="preserve"/>
      </w:r>
    </w:p>
    <w:p>
      <w:pPr>
        <w:spacing w:after="80" w:before="0" w:line="360" w:lineRule="auto"/>
        <w:jc w:val="both"/>
      </w:pPr>
      <w:r>
        <w:rPr>
          <w:rFonts w:ascii="Times New Roman" w:cs="Times New Roman" w:eastAsia="Times New Roman" w:hAnsi="Times New Roman"/>
          <w:sz w:val="24"/>
          <w:szCs w:val="24"/>
        </w:rPr>
        <w:t xml:space="preserve">These limitations motivate DCTM: a diffusion-based adversarial framework that addresses each gap systematically through a principled, stable generative architecture and comprehensive evaluation.</w:t>
      </w:r>
    </w:p>
    <w:p>
      <w:pPr>
        <w:pStyle w:val="Heading2"/>
        <w:spacing w:after="100" w:before="200" w:line="360" w:lineRule="auto"/>
        <w:jc w:val="left"/>
      </w:pPr>
      <w:r>
        <w:rPr>
          <w:rFonts w:ascii="Times New Roman" w:cs="Times New Roman" w:eastAsia="Times New Roman" w:hAnsi="Times New Roman"/>
          <w:b/>
          <w:bCs/>
          <w:sz w:val="28"/>
          <w:szCs w:val="28"/>
        </w:rPr>
        <w:t xml:space="preserve">1.3  Objectives</w:t>
      </w:r>
    </w:p>
    <w:p>
      <w:pPr>
        <w:spacing w:after="80" w:before="0" w:line="360" w:lineRule="auto"/>
        <w:jc w:val="both"/>
      </w:pPr>
      <w:r>
        <w:rPr>
          <w:rFonts w:ascii="Times New Roman" w:cs="Times New Roman" w:eastAsia="Times New Roman" w:hAnsi="Times New Roman"/>
          <w:sz w:val="24"/>
          <w:szCs w:val="24"/>
        </w:rPr>
        <w:t xml:space="preserve">The primary objectives of this project are: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To design and implement a Transformer-based Tabular Diffusion Model for adversarial network traffic generation that overcomes GAN instability and mode collapse.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To expand the feature set from 10 to 20 features using a hybrid Mutual Information and SHAP-based ranking, capturing richer traffic semantics.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To integrate SMOTE-based class balancing prior to IDS training to ensure fair evaluation across all attack categories.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To evaluate DCTM against ten ML/DL IDS classifiers (five classical and five deep learning) on CICIDS2017, providing a broader benchmark than existing work.</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To demonstrate adversarial retraining as an effective hardening mechanism for IDS models.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To compare DCTM results against the DEMGAN baseline to quantify improvements.</w:t>
      </w:r>
    </w:p>
    <w:p>
      <w:pPr>
        <w:pStyle w:val="Heading2"/>
        <w:spacing w:after="100" w:before="200" w:line="360" w:lineRule="auto"/>
        <w:jc w:val="left"/>
      </w:pPr>
      <w:r>
        <w:rPr>
          <w:rFonts w:ascii="Times New Roman" w:cs="Times New Roman" w:eastAsia="Times New Roman" w:hAnsi="Times New Roman"/>
          <w:b/>
          <w:bCs/>
          <w:sz w:val="28"/>
          <w:szCs w:val="28"/>
        </w:rPr>
        <w:t xml:space="preserve">1.4  Scope of the Project</w:t>
      </w:r>
    </w:p>
    <w:p>
      <w:pPr>
        <w:spacing w:after="80" w:before="0" w:line="360" w:lineRule="auto"/>
        <w:jc w:val="both"/>
      </w:pPr>
      <w:r>
        <w:rPr>
          <w:rFonts w:ascii="Times New Roman" w:cs="Times New Roman" w:eastAsia="Times New Roman" w:hAnsi="Times New Roman"/>
          <w:sz w:val="24"/>
          <w:szCs w:val="24"/>
        </w:rPr>
        <w:t xml:space="preserve">This project focuses on black-box adversarial evasion of network IDS using the CICIDS2017 dataset. The scope is limited to feature-space perturbations; byte-level or packet-level modifications are out of scope. Domain constraints are enforced by freezing network-layer features (Destination Port, URG Flag Count, CWE Flag Count) that cannot realistically be altered by an attacker without breaking the functional attack payload. The project operates in an offline batch evaluation setting consistent with the DEMGAN methodology.</w:t>
      </w:r>
    </w:p>
    <w:p>
      <w:pPr>
        <w:pStyle w:val="Heading2"/>
        <w:spacing w:after="100" w:before="200" w:line="360" w:lineRule="auto"/>
        <w:jc w:val="left"/>
      </w:pPr>
      <w:r>
        <w:rPr>
          <w:rFonts w:ascii="Times New Roman" w:cs="Times New Roman" w:eastAsia="Times New Roman" w:hAnsi="Times New Roman"/>
          <w:b/>
          <w:bCs/>
          <w:sz w:val="28"/>
          <w:szCs w:val="28"/>
        </w:rPr>
        <w:t xml:space="preserve">1.5  Organization of the Report</w:t>
      </w:r>
    </w:p>
    <w:p>
      <w:pPr>
        <w:spacing w:after="80" w:before="0" w:line="360" w:lineRule="auto"/>
        <w:jc w:val="both"/>
      </w:pPr>
      <w:r>
        <w:rPr>
          <w:rFonts w:ascii="Times New Roman" w:cs="Times New Roman" w:eastAsia="Times New Roman" w:hAnsi="Times New Roman"/>
          <w:sz w:val="24"/>
          <w:szCs w:val="24"/>
        </w:rPr>
        <w:t xml:space="preserve">Chapter 2 reviews related literature. Chapter 3 presents system analysis, architecture, and dataset description. Chapter 4 details implementation. Chapter 5 reports and discusses experimental results. Chapter 6 concludes with future directions.</w:t>
      </w:r>
    </w:p>
    <w:p>
      <w:r>
        <w:br w:type="page"/>
      </w:r>
    </w:p>
    <w:p>
      <w:pPr>
        <w:pStyle w:val="Heading1"/>
        <w:spacing w:after="240" w:before="240" w:line="360" w:lineRule="auto"/>
        <w:jc w:val="center"/>
      </w:pPr>
      <w:r>
        <w:rPr>
          <w:rFonts w:ascii="Times New Roman" w:cs="Times New Roman" w:eastAsia="Times New Roman" w:hAnsi="Times New Roman"/>
          <w:b/>
          <w:bCs/>
          <w:sz w:val="32"/>
          <w:szCs w:val="32"/>
        </w:rPr>
        <w:t xml:space="preserve">CHAPTER 2: LITERATURE SURVEY</w:t>
      </w:r>
    </w:p>
    <w:p>
      <w:pPr>
        <w:pStyle w:val="Heading2"/>
        <w:spacing w:after="100" w:before="200" w:line="360" w:lineRule="auto"/>
        <w:jc w:val="left"/>
      </w:pPr>
      <w:r>
        <w:rPr>
          <w:rFonts w:ascii="Times New Roman" w:cs="Times New Roman" w:eastAsia="Times New Roman" w:hAnsi="Times New Roman"/>
          <w:b/>
          <w:bCs/>
          <w:sz w:val="28"/>
          <w:szCs w:val="28"/>
        </w:rPr>
        <w:t xml:space="preserve">2.1  Machine Learning-Based Intrusion Detection</w:t>
      </w:r>
    </w:p>
    <w:p>
      <w:pPr>
        <w:spacing w:after="80" w:before="0" w:line="360" w:lineRule="auto"/>
        <w:jc w:val="both"/>
      </w:pPr>
      <w:r>
        <w:rPr>
          <w:rFonts w:ascii="Times New Roman" w:cs="Times New Roman" w:eastAsia="Times New Roman" w:hAnsi="Times New Roman"/>
          <w:sz w:val="24"/>
          <w:szCs w:val="24"/>
        </w:rPr>
        <w:t xml:space="preserve">Intrusion detection systems based on machine learning have emerged as a dominant approach due to their ability to generalize beyond signature-based rules. Classical classifiers such as Decision Trees, Random Forests, and Support Vector Machines have been widely applied to benchmark datasets including CICIDS2017. More recently, deep learning models — Convolutional Neural Networks, Recurrent Neural Networks, and hybrid architectures such as CNN-BiLSTM — have demonstrated superior feature extraction capabilities for sequential and high-dimensional traffic data. However, the assumption of a static, clean input distribution makes all these models inherently brittle when faced with adversarially modified inputs.</w:t>
      </w:r>
    </w:p>
    <w:p>
      <w:pPr>
        <w:pStyle w:val="Heading2"/>
        <w:spacing w:after="100" w:before="200" w:line="360" w:lineRule="auto"/>
        <w:jc w:val="left"/>
      </w:pPr>
      <w:r>
        <w:rPr>
          <w:rFonts w:ascii="Times New Roman" w:cs="Times New Roman" w:eastAsia="Times New Roman" w:hAnsi="Times New Roman"/>
          <w:b/>
          <w:bCs/>
          <w:sz w:val="28"/>
          <w:szCs w:val="28"/>
        </w:rPr>
        <w:t xml:space="preserve">2.2  Adversarial Attacks on ML Models</w:t>
      </w:r>
    </w:p>
    <w:p>
      <w:pPr>
        <w:spacing w:after="80" w:before="0" w:line="360" w:lineRule="auto"/>
        <w:jc w:val="both"/>
      </w:pPr>
      <w:r>
        <w:rPr>
          <w:rFonts w:ascii="Times New Roman" w:cs="Times New Roman" w:eastAsia="Times New Roman" w:hAnsi="Times New Roman"/>
          <w:sz w:val="24"/>
          <w:szCs w:val="24"/>
        </w:rPr>
        <w:t xml:space="preserve">The vulnerability of ML models to adversarial perturbations was formally characterized in the image domain. The Fast Gradient Sign Method (FGSM) and Projected Gradient Descent (PGD) perturb inputs along the direction of the model loss gradient. In the network traffic domain, such perturbations must respect domain constraints: features representing packet counts, byte statistics, or flag bits must remain non-negative, integer-valued, and causally consistent. This constrained perturbation problem requires specialized generation methods, distinguishing IDS adversarial research from unconstrained image attacks.</w:t>
      </w:r>
    </w:p>
    <w:p>
      <w:pPr>
        <w:pStyle w:val="Heading2"/>
        <w:spacing w:after="100" w:before="200" w:line="360" w:lineRule="auto"/>
        <w:jc w:val="left"/>
      </w:pPr>
      <w:r>
        <w:rPr>
          <w:rFonts w:ascii="Times New Roman" w:cs="Times New Roman" w:eastAsia="Times New Roman" w:hAnsi="Times New Roman"/>
          <w:b/>
          <w:bCs/>
          <w:sz w:val="28"/>
          <w:szCs w:val="28"/>
        </w:rPr>
        <w:t xml:space="preserve">2.3  GAN-Based Adversarial Traffic Generation</w:t>
      </w:r>
    </w:p>
    <w:p>
      <w:pPr>
        <w:spacing w:after="80" w:before="0" w:line="360" w:lineRule="auto"/>
        <w:jc w:val="both"/>
      </w:pPr>
      <w:r>
        <w:rPr>
          <w:rFonts w:ascii="Times New Roman" w:cs="Times New Roman" w:eastAsia="Times New Roman" w:hAnsi="Times New Roman"/>
          <w:sz w:val="24"/>
          <w:szCs w:val="24"/>
        </w:rPr>
        <w:t xml:space="preserve">Generative Adversarial Networks (Goodfellow et al., 2014) [3] introduced a two-player game in which a generator G learns to produce samples that fool a discriminator D. Applied to IDS evasion, the generator is trained to produce network traffic features that are misclassified as benign. Standard GAN training is prone to mode collapse and gradient vanishing; Wasserstein GAN (Arjovsky et al., 2017) [2] mitigates this by replacing JS-divergence with Wasserstein-1 distance and enforcing a Lipschitz constraint. DEMGAN extends WGAN with multiple generators and a distortion rate penalty, achieving 97.42% average evasion on CICIDS2017.</w:t>
      </w:r>
    </w:p>
    <w:p>
      <w:pPr>
        <w:pStyle w:val="Heading2"/>
        <w:spacing w:after="100" w:before="200" w:line="360" w:lineRule="auto"/>
        <w:jc w:val="left"/>
      </w:pPr>
      <w:r>
        <w:rPr>
          <w:rFonts w:ascii="Times New Roman" w:cs="Times New Roman" w:eastAsia="Times New Roman" w:hAnsi="Times New Roman"/>
          <w:b/>
          <w:bCs/>
          <w:sz w:val="28"/>
          <w:szCs w:val="28"/>
        </w:rPr>
        <w:t xml:space="preserve">2.4  DEMGAN: Detailed Review</w:t>
      </w:r>
    </w:p>
    <w:p>
      <w:pPr>
        <w:spacing w:after="80" w:before="0" w:line="360" w:lineRule="auto"/>
        <w:jc w:val="both"/>
      </w:pPr>
      <w:r>
        <w:rPr>
          <w:rFonts w:ascii="Times New Roman" w:cs="Times New Roman" w:eastAsia="Times New Roman" w:hAnsi="Times New Roman"/>
          <w:sz w:val="24"/>
          <w:szCs w:val="24"/>
        </w:rPr>
        <w:t xml:space="preserve">DEMGAN (Xu et al., 2025) [1] proposes a multi-generator WGAN where each generator specializes in one attack category. A shared discriminator evaluates all generators simultaneously. A distortion rate penalty prevents generated samples from drifting too far from real malicious traffic. DEMGAN achieves 97.42% evasion on CICIDS2017 and 87.51% on CICIDS2018 across five classical IDS models. Adversarial retraining with DEMGAN samples improves IDS detection by an average of 86.78%. However, DEMGAN is evaluated only on classical classifiers, omitting deep learning IDS models entirely, and uses only 10 MI-ranked features.</w:t>
      </w:r>
    </w:p>
    <w:p>
      <w:pPr>
        <w:pStyle w:val="Heading2"/>
        <w:spacing w:after="100" w:before="200" w:line="360" w:lineRule="auto"/>
        <w:jc w:val="left"/>
      </w:pPr>
      <w:r>
        <w:rPr>
          <w:rFonts w:ascii="Times New Roman" w:cs="Times New Roman" w:eastAsia="Times New Roman" w:hAnsi="Times New Roman"/>
          <w:b/>
          <w:bCs/>
          <w:sz w:val="28"/>
          <w:szCs w:val="28"/>
        </w:rPr>
        <w:t xml:space="preserve">2.5  Diffusion Models for Tabular Data Generation</w:t>
      </w:r>
    </w:p>
    <w:p>
      <w:pPr>
        <w:spacing w:after="80" w:before="0" w:line="360" w:lineRule="auto"/>
        <w:jc w:val="both"/>
      </w:pPr>
      <w:r>
        <w:rPr>
          <w:rFonts w:ascii="Times New Roman" w:cs="Times New Roman" w:eastAsia="Times New Roman" w:hAnsi="Times New Roman"/>
          <w:sz w:val="24"/>
          <w:szCs w:val="24"/>
        </w:rPr>
        <w:t xml:space="preserve">Denoising Diffusion Probabilistic Models (Ho et al., 2020) [7] define a Markov chain that gradually adds Gaussian noise to data, then train a neural network to reverse this process. Unlike GANs, diffusion models optimize an ELBO on the data log-likelihood, yielding stable training with a well-defined gradient signal and no adversarial game. Mode collapse is structurally eliminated. TabDDPM demonstrated that diffusion models outperform GAN variants on tabular data generation benchmarks, making them a natural choice for network traffic — which is inherently tabular.</w:t>
      </w:r>
    </w:p>
    <w:p>
      <w:pPr>
        <w:pStyle w:val="Heading2"/>
        <w:spacing w:after="100" w:before="200" w:line="360" w:lineRule="auto"/>
        <w:jc w:val="left"/>
      </w:pPr>
      <w:r>
        <w:rPr>
          <w:rFonts w:ascii="Times New Roman" w:cs="Times New Roman" w:eastAsia="Times New Roman" w:hAnsi="Times New Roman"/>
          <w:b/>
          <w:bCs/>
          <w:sz w:val="28"/>
          <w:szCs w:val="28"/>
        </w:rPr>
        <w:t xml:space="preserve">2.6  Feature Selection for IDS</w:t>
      </w:r>
    </w:p>
    <w:p>
      <w:pPr>
        <w:spacing w:after="80" w:before="0" w:line="360" w:lineRule="auto"/>
        <w:jc w:val="both"/>
      </w:pPr>
      <w:r>
        <w:rPr>
          <w:rFonts w:ascii="Times New Roman" w:cs="Times New Roman" w:eastAsia="Times New Roman" w:hAnsi="Times New Roman"/>
          <w:sz w:val="24"/>
          <w:szCs w:val="24"/>
        </w:rPr>
        <w:t xml:space="preserve">Mutual Information (MI) quantifies statistical dependence between each feature and the class label, ranking features by individual discriminative power but ignoring interactions. SHAP (Lundberg &amp; Lee, 2017) [5] provides model-agnostic, game-theoretic feature attribution by computing the average marginal contribution of each feature across all possible coalitions. A hybrid MI + SHAP ranking captures both univariate relevance and model-specific interaction effects. Gocs &amp; Johanyak (2023) [6] identified dataset-specific relevant features for CIC-IDS2018, supporting the case for targeted feature engineering.</w:t>
      </w:r>
    </w:p>
    <w:p>
      <w:pPr>
        <w:pStyle w:val="Heading2"/>
        <w:spacing w:after="100" w:before="200" w:line="360" w:lineRule="auto"/>
        <w:jc w:val="left"/>
      </w:pPr>
      <w:r>
        <w:rPr>
          <w:rFonts w:ascii="Times New Roman" w:cs="Times New Roman" w:eastAsia="Times New Roman" w:hAnsi="Times New Roman"/>
          <w:b/>
          <w:bCs/>
          <w:sz w:val="28"/>
          <w:szCs w:val="28"/>
        </w:rPr>
        <w:t xml:space="preserve">2.7  Class Imbalance in IDS Datasets</w:t>
      </w:r>
    </w:p>
    <w:p>
      <w:pPr>
        <w:spacing w:after="80" w:before="0" w:line="360" w:lineRule="auto"/>
        <w:jc w:val="both"/>
      </w:pPr>
      <w:r>
        <w:rPr>
          <w:rFonts w:ascii="Times New Roman" w:cs="Times New Roman" w:eastAsia="Times New Roman" w:hAnsi="Times New Roman"/>
          <w:sz w:val="24"/>
          <w:szCs w:val="24"/>
        </w:rPr>
        <w:t xml:space="preserve">CICIDS2017 exhibits severe class imbalance: benign traffic accounts for approximately 80% of all samples, while individual attack categories (e.g., Heartbleed, Infiltration) represent fewer than 0.01% of traffic. SMOTE (Chawla et al., 2002) [4] addresses this by generating synthetic minority samples through feature-space interpolation between existing minority instances, creating a more balanced training distribution without simply duplicating samples.</w:t>
      </w:r>
    </w:p>
    <w:p>
      <w:pPr>
        <w:pStyle w:val="Heading2"/>
        <w:spacing w:after="100" w:before="200" w:line="360" w:lineRule="auto"/>
        <w:jc w:val="left"/>
      </w:pPr>
      <w:r>
        <w:rPr>
          <w:rFonts w:ascii="Times New Roman" w:cs="Times New Roman" w:eastAsia="Times New Roman" w:hAnsi="Times New Roman"/>
          <w:b/>
          <w:bCs/>
          <w:sz w:val="28"/>
          <w:szCs w:val="28"/>
        </w:rPr>
        <w:t xml:space="preserve">2.8  Research Gap</w:t>
      </w:r>
    </w:p>
    <w:p>
      <w:pPr>
        <w:spacing w:after="80" w:before="0" w:line="360" w:lineRule="auto"/>
        <w:jc w:val="both"/>
      </w:pPr>
      <w:r>
        <w:rPr>
          <w:rFonts w:ascii="Times New Roman" w:cs="Times New Roman" w:eastAsia="Times New Roman" w:hAnsi="Times New Roman"/>
          <w:sz w:val="24"/>
          <w:szCs w:val="24"/>
        </w:rPr>
        <w:t xml:space="preserve">Existing adversarial IDS evasion methods use GAN-based generators evaluated against a small set of classical classifiers on restricted feature subsets, with no class balancing. No prior work has: (i) applied diffusion-based generation to IDS adversarial evasion on the CICIDS2017 dataset; (ii) evaluated against a combined set of classical and deep learning IDS classifiers; or (iii) used a hybrid MI + SHAP feature selection with domain-constraint enforcement. DCTM addresses all three gaps.</w:t>
      </w:r>
    </w:p>
    <w:p>
      <w:pPr>
        <w:spacing w:after="60" w:before="160"/>
        <w:jc w:val="center"/>
      </w:pPr>
      <w:r>
        <w:rPr>
          <w:rFonts w:ascii="Times New Roman" w:cs="Times New Roman" w:eastAsia="Times New Roman" w:hAnsi="Times New Roman"/>
          <w:b/>
          <w:bCs/>
          <w:sz w:val="22"/>
          <w:szCs w:val="22"/>
        </w:rPr>
        <w:t xml:space="preserve">Table 2.1: Comparison of Adversarial Attack Methods in IDS Literature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500"/>
        <w:gridCol w:w="2000"/>
        <w:gridCol w:w="1638"/>
      </w:tblGrid>
      <w:tr>
        <w:trPr>
          <w:tblHeader/>
        </w:trPr>
        <w:tc>
          <w:tcPr>
            <w:tcW w:type="dxa" w:w="17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Method</w:t>
            </w:r>
          </w:p>
        </w:tc>
        <w:tc>
          <w:tcPr>
            <w:tcW w:type="dxa" w:w="28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Generator</w:t>
            </w:r>
          </w:p>
        </w:tc>
        <w:tc>
          <w:tcPr>
            <w:tcW w:type="dxa" w:w="15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Feature Set</w:t>
            </w:r>
          </w:p>
        </w:tc>
        <w:tc>
          <w:tcPr>
            <w:tcW w:type="dxa" w:w="20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IDS Models Tested</w:t>
            </w:r>
          </w:p>
        </w:tc>
        <w:tc>
          <w:tcPr>
            <w:tcW w:type="dxa" w:w="1638"/>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Evasion Rate (CICIDS2017)</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WGAN</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Wasserstein GAN</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 (MI)</w:t>
            </w:r>
          </w:p>
        </w:tc>
        <w:tc>
          <w:tcPr>
            <w:tcW w:type="dxa" w:w="2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 Classical</w:t>
            </w:r>
          </w:p>
        </w:tc>
        <w:tc>
          <w:tcPr>
            <w:tcW w:type="dxa" w:w="16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~79.63%</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DEMGAN [1]</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Multi-Gen WGAN + Distortion Rate</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 (MI)</w:t>
            </w:r>
          </w:p>
        </w:tc>
        <w:tc>
          <w:tcPr>
            <w:tcW w:type="dxa" w:w="2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 Classical</w:t>
            </w:r>
          </w:p>
        </w:tc>
        <w:tc>
          <w:tcPr>
            <w:tcW w:type="dxa" w:w="16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97.42%</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DCTM (Ours)</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Transformer DDPM</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 (MI+SHAP)</w:t>
            </w:r>
          </w:p>
        </w:tc>
        <w:tc>
          <w:tcPr>
            <w:tcW w:type="dxa" w:w="2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 (Classical+DL)</w:t>
            </w:r>
          </w:p>
        </w:tc>
        <w:tc>
          <w:tcPr>
            <w:tcW w:type="dxa" w:w="16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Up to 100% (SVM)</w:t>
            </w:r>
          </w:p>
        </w:tc>
      </w:tr>
    </w:tbl>
    <w:p>
      <w:r>
        <w:br w:type="page"/>
      </w:r>
    </w:p>
    <w:p>
      <w:pPr>
        <w:pStyle w:val="Heading1"/>
        <w:spacing w:after="240" w:before="240" w:line="360" w:lineRule="auto"/>
        <w:jc w:val="center"/>
      </w:pPr>
      <w:r>
        <w:rPr>
          <w:rFonts w:ascii="Times New Roman" w:cs="Times New Roman" w:eastAsia="Times New Roman" w:hAnsi="Times New Roman"/>
          <w:b/>
          <w:bCs/>
          <w:sz w:val="32"/>
          <w:szCs w:val="32"/>
        </w:rPr>
        <w:t xml:space="preserve">CHAPTER 3: SYSTEM ANALYSIS AND DESIGN</w:t>
      </w:r>
    </w:p>
    <w:p>
      <w:pPr>
        <w:pStyle w:val="Heading2"/>
        <w:spacing w:after="100" w:before="200" w:line="360" w:lineRule="auto"/>
        <w:jc w:val="left"/>
      </w:pPr>
      <w:r>
        <w:rPr>
          <w:rFonts w:ascii="Times New Roman" w:cs="Times New Roman" w:eastAsia="Times New Roman" w:hAnsi="Times New Roman"/>
          <w:b/>
          <w:bCs/>
          <w:sz w:val="28"/>
          <w:szCs w:val="28"/>
        </w:rPr>
        <w:t xml:space="preserve">3.1  Problem Statement</w:t>
      </w:r>
    </w:p>
    <w:p>
      <w:pPr>
        <w:spacing w:after="80" w:before="0" w:line="360" w:lineRule="auto"/>
        <w:jc w:val="both"/>
      </w:pPr>
      <w:r>
        <w:rPr>
          <w:rFonts w:ascii="Times New Roman" w:cs="Times New Roman" w:eastAsia="Times New Roman" w:hAnsi="Times New Roman"/>
          <w:sz w:val="24"/>
          <w:szCs w:val="24"/>
        </w:rPr>
        <w:t xml:space="preserve">ML-based IDS are deployed as the primary defense against network intrusions. However, adversarial network traffic perturbed at the feature level can evade these systems with high success rates. Existing GAN-based adversarial generation frameworks suffer from training instability, limited feature coverage, and a restricted evaluation scope that excludes deep learning IDS models. The problem is to design an adversarial framework that generates high-quality, diverse evasion traffic using a stable generative model, broad feature engineering, and a comprehensive IDS evaluation protocol, while also demonstrating adversarial retraining as a practical hardening defense.</w:t>
      </w:r>
    </w:p>
    <w:p>
      <w:pPr>
        <w:pStyle w:val="Heading2"/>
        <w:spacing w:after="100" w:before="200" w:line="360" w:lineRule="auto"/>
        <w:jc w:val="left"/>
      </w:pPr>
      <w:r>
        <w:rPr>
          <w:rFonts w:ascii="Times New Roman" w:cs="Times New Roman" w:eastAsia="Times New Roman" w:hAnsi="Times New Roman"/>
          <w:b/>
          <w:bCs/>
          <w:sz w:val="28"/>
          <w:szCs w:val="28"/>
        </w:rPr>
        <w:t xml:space="preserve">3.2  System Requirements</w:t>
      </w:r>
    </w:p>
    <w:p>
      <w:pPr>
        <w:pStyle w:val="Heading3"/>
        <w:spacing w:after="80" w:before="160" w:line="360" w:lineRule="auto"/>
        <w:jc w:val="left"/>
      </w:pPr>
      <w:r>
        <w:rPr>
          <w:rFonts w:ascii="Times New Roman" w:cs="Times New Roman" w:eastAsia="Times New Roman" w:hAnsi="Times New Roman"/>
          <w:b/>
          <w:bCs/>
          <w:sz w:val="24"/>
          <w:szCs w:val="24"/>
        </w:rPr>
        <w:t xml:space="preserve">3.2.1  Software Requirements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Python 3.10+ with virtual environment</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PyTorch 2.x with optional CUDA 12.1 support for GPU acceleration</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scikit-learn, XGBoost, LightGBM for classical IDS models and feature selection</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imbalanced-learn (SMOTE), SHAP, pandas, numpy, matplotlib for preprocessing and analysis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pyarrow for Parquet caching of intermediate artifacts</w:t>
      </w:r>
    </w:p>
    <w:p>
      <w:pPr>
        <w:pStyle w:val="Heading3"/>
        <w:spacing w:after="80" w:before="160" w:line="360" w:lineRule="auto"/>
        <w:jc w:val="left"/>
      </w:pPr>
      <w:r>
        <w:rPr>
          <w:rFonts w:ascii="Times New Roman" w:cs="Times New Roman" w:eastAsia="Times New Roman" w:hAnsi="Times New Roman"/>
          <w:b/>
          <w:bCs/>
          <w:sz w:val="24"/>
          <w:szCs w:val="24"/>
        </w:rPr>
        <w:t xml:space="preserve">3.2.2  Hardware Requirements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Minimum: Intel Core i5 / AMD Ryzen 5, 8 GB RAM, 50 GB free storage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Recommended: NVIDIA GPU (CUDA-capable, 4 GB VRAM), 16 GB RAM for diffusion training</w:t>
      </w:r>
    </w:p>
    <w:p>
      <w:pPr>
        <w:pStyle w:val="Heading2"/>
        <w:spacing w:after="100" w:before="200" w:line="360" w:lineRule="auto"/>
        <w:jc w:val="left"/>
      </w:pPr>
      <w:r>
        <w:rPr>
          <w:rFonts w:ascii="Times New Roman" w:cs="Times New Roman" w:eastAsia="Times New Roman" w:hAnsi="Times New Roman"/>
          <w:b/>
          <w:bCs/>
          <w:sz w:val="28"/>
          <w:szCs w:val="28"/>
        </w:rPr>
        <w:t xml:space="preserve">3.3  Proposed System Architecture</w:t>
      </w:r>
    </w:p>
    <w:p>
      <w:pPr>
        <w:spacing w:after="80" w:before="0" w:line="360" w:lineRule="auto"/>
        <w:jc w:val="both"/>
      </w:pPr>
      <w:r>
        <w:rPr>
          <w:rFonts w:ascii="Times New Roman" w:cs="Times New Roman" w:eastAsia="Times New Roman" w:hAnsi="Times New Roman"/>
          <w:sz w:val="24"/>
          <w:szCs w:val="24"/>
        </w:rPr>
        <w:t xml:space="preserve">The DCTM framework is organized as a phase-based pipeline with five major modules. Figure 3.1 illustrates the overall architecture, showing the sequential data flow from raw CSV input through preprocessing, feature engineering, IDS training, diffusion-based adversarial generation, and final evaluation with adversarial retraining.</w:t>
      </w:r>
    </w:p>
    <w:p>
      <w:pPr>
        <w:pBdr>
          <w:top w:val="dashed" w:color="AAAAAA" w:sz="4"/>
          <w:bottom w:val="dashed" w:color="AAAAAA" w:sz="4"/>
        </w:pBdr>
        <w:spacing w:after="60" w:before="120"/>
        <w:jc w:val="center"/>
      </w:pPr>
      <w:r>
        <w:rPr>
          <w:rFonts w:ascii="Times New Roman" w:cs="Times New Roman" w:eastAsia="Times New Roman" w:hAnsi="Times New Roman"/>
          <w:color w:val="888888"/>
          <w:sz w:val="22"/>
          <w:szCs w:val="22"/>
        </w:rPr>
        <w:t xml:space="preserve">[INSERT FIGURE 3.1: Overall System Architecture of the DCTM Framework — File: See Diagram_Guide.md for construction details]</w:t>
      </w:r>
    </w:p>
    <w:p>
      <w:pPr>
        <w:spacing w:after="160" w:before="60"/>
        <w:jc w:val="center"/>
      </w:pPr>
      <w:r>
        <w:rPr>
          <w:rFonts w:ascii="Times New Roman" w:cs="Times New Roman" w:eastAsia="Times New Roman" w:hAnsi="Times New Roman"/>
          <w:b/>
          <w:bCs/>
          <w:sz w:val="22"/>
          <w:szCs w:val="22"/>
        </w:rPr>
        <w:t xml:space="preserve">Fig. 3.1: Overall System Architecture of the DCTM Framework</w:t>
      </w:r>
    </w:p>
    <w:p>
      <w:pPr>
        <w:pStyle w:val="Heading2"/>
        <w:spacing w:after="100" w:before="200" w:line="360" w:lineRule="auto"/>
        <w:jc w:val="left"/>
      </w:pPr>
      <w:r>
        <w:rPr>
          <w:rFonts w:ascii="Times New Roman" w:cs="Times New Roman" w:eastAsia="Times New Roman" w:hAnsi="Times New Roman"/>
          <w:b/>
          <w:bCs/>
          <w:sz w:val="28"/>
          <w:szCs w:val="28"/>
        </w:rPr>
        <w:t xml:space="preserve">3.4  Module Descriptions</w:t>
      </w:r>
    </w:p>
    <w:p>
      <w:pPr>
        <w:pStyle w:val="Heading3"/>
        <w:spacing w:after="80" w:before="160" w:line="360" w:lineRule="auto"/>
        <w:jc w:val="left"/>
      </w:pPr>
      <w:r>
        <w:rPr>
          <w:rFonts w:ascii="Times New Roman" w:cs="Times New Roman" w:eastAsia="Times New Roman" w:hAnsi="Times New Roman"/>
          <w:b/>
          <w:bCs/>
          <w:sz w:val="24"/>
          <w:szCs w:val="24"/>
        </w:rPr>
        <w:t xml:space="preserve">3.4.1  Data Preprocessing Module</w:t>
      </w:r>
    </w:p>
    <w:p>
      <w:pPr>
        <w:spacing w:after="80" w:before="0" w:line="360" w:lineRule="auto"/>
        <w:jc w:val="both"/>
      </w:pPr>
      <w:r>
        <w:rPr>
          <w:rFonts w:ascii="Times New Roman" w:cs="Times New Roman" w:eastAsia="Times New Roman" w:hAnsi="Times New Roman"/>
          <w:sz w:val="24"/>
          <w:szCs w:val="24"/>
        </w:rPr>
        <w:t xml:space="preserve">Raw CICIDS2017 CSV files are merged, deduplicated, and cleaned. Constant-value columns are removed, infinite values are replaced with column medians, and labels are mapped to binary form (0 = Benign, 1 = Attack). A stratified 80/20 train-test split is applied with seed 42 and results are cached as Parquet files.</w:t>
      </w:r>
    </w:p>
    <w:p>
      <w:pPr>
        <w:pStyle w:val="Heading3"/>
        <w:spacing w:after="80" w:before="160" w:line="360" w:lineRule="auto"/>
        <w:jc w:val="left"/>
      </w:pPr>
      <w:r>
        <w:rPr>
          <w:rFonts w:ascii="Times New Roman" w:cs="Times New Roman" w:eastAsia="Times New Roman" w:hAnsi="Times New Roman"/>
          <w:b/>
          <w:bCs/>
          <w:sz w:val="24"/>
          <w:szCs w:val="24"/>
        </w:rPr>
        <w:t xml:space="preserve">3.4.2  Adaptive Feature Selection Module</w:t>
      </w:r>
    </w:p>
    <w:p>
      <w:pPr>
        <w:spacing w:after="80" w:before="0" w:line="360" w:lineRule="auto"/>
        <w:jc w:val="both"/>
      </w:pPr>
      <w:r>
        <w:rPr>
          <w:rFonts w:ascii="Times New Roman" w:cs="Times New Roman" w:eastAsia="Times New Roman" w:hAnsi="Times New Roman"/>
          <w:sz w:val="24"/>
          <w:szCs w:val="24"/>
        </w:rPr>
        <w:t xml:space="preserve">Feature selection uses a two-stage hybrid approach. Stage 1 computes Mutual Information scores using sklearn.feature_selection.mutual_info_classif on 100,000 training samples. Stage 2 trains a LightGBM proxy on 50,000 samples and computes SHAP feature importances via TreeExplainer. The final score is: Score = 0.5 × MI_norm + 0.5 × SHAP_norm. Top 20 features are selected and three are designated immutable (Destination Port, URG Flag Count, CWE Flag Count).</w:t>
      </w:r>
    </w:p>
    <w:p>
      <w:pPr>
        <w:pStyle w:val="Heading3"/>
        <w:spacing w:after="80" w:before="160" w:line="360" w:lineRule="auto"/>
        <w:jc w:val="left"/>
      </w:pPr>
      <w:r>
        <w:rPr>
          <w:rFonts w:ascii="Times New Roman" w:cs="Times New Roman" w:eastAsia="Times New Roman" w:hAnsi="Times New Roman"/>
          <w:b/>
          <w:bCs/>
          <w:sz w:val="24"/>
          <w:szCs w:val="24"/>
        </w:rPr>
        <w:t xml:space="preserve">3.4.3  IDS Training Module</w:t>
      </w:r>
    </w:p>
    <w:p>
      <w:pPr>
        <w:spacing w:after="80" w:before="0" w:line="360" w:lineRule="auto"/>
        <w:jc w:val="both"/>
      </w:pPr>
      <w:r>
        <w:rPr>
          <w:rFonts w:ascii="Times New Roman" w:cs="Times New Roman" w:eastAsia="Times New Roman" w:hAnsi="Times New Roman"/>
          <w:sz w:val="24"/>
          <w:szCs w:val="24"/>
        </w:rPr>
        <w:t xml:space="preserve">Ten IDS classifiers share a unified interface (train, predict, predict_proba, save, load). Classical models use scikit-learn with SMOTE-balanced training data (capped at 50,000 samples per class). Deep learning models (MLP, CNN, RNN, CNN-BiLSTM) use PyTorch and operate on 20-dimensional input vectors. Checkpoints are cached to disk; existing checkpoints are skipped.</w:t>
      </w:r>
    </w:p>
    <w:p>
      <w:pPr>
        <w:pStyle w:val="Heading3"/>
        <w:spacing w:after="80" w:before="160" w:line="360" w:lineRule="auto"/>
        <w:jc w:val="left"/>
      </w:pPr>
      <w:r>
        <w:rPr>
          <w:rFonts w:ascii="Times New Roman" w:cs="Times New Roman" w:eastAsia="Times New Roman" w:hAnsi="Times New Roman"/>
          <w:b/>
          <w:bCs/>
          <w:sz w:val="24"/>
          <w:szCs w:val="24"/>
        </w:rPr>
        <w:t xml:space="preserve">3.4.4  Diffusion Model Training Module</w:t>
      </w:r>
    </w:p>
    <w:p>
      <w:pPr>
        <w:spacing w:after="80" w:before="0" w:line="360" w:lineRule="auto"/>
        <w:jc w:val="both"/>
      </w:pPr>
      <w:r>
        <w:rPr>
          <w:rFonts w:ascii="Times New Roman" w:cs="Times New Roman" w:eastAsia="Times New Roman" w:hAnsi="Times New Roman"/>
          <w:sz w:val="24"/>
          <w:szCs w:val="24"/>
        </w:rPr>
        <w:t xml:space="preserve">One Transformer-based Denoiser is trained per attack class. The architecture consists of a sinusoidal timestep embedding (128D) → SiLU → linear projection to model_dim = 256, followed by 4 × TransformerEncoderLayer (nhead = 4, dim_feedforward = 512, dropout = 0.1). Training uses a linear beta schedule from 0.0001 to 0.02 over T = 1000 timesteps, optimizing the MSE noise prediction loss. Figure 3.2 illustrates the diffusion process.</w:t>
      </w:r>
    </w:p>
    <w:p>
      <w:pPr>
        <w:pBdr>
          <w:top w:val="dashed" w:color="AAAAAA" w:sz="4"/>
          <w:bottom w:val="dashed" w:color="AAAAAA" w:sz="4"/>
        </w:pBdr>
        <w:spacing w:after="60" w:before="120"/>
        <w:jc w:val="center"/>
      </w:pPr>
      <w:r>
        <w:rPr>
          <w:rFonts w:ascii="Times New Roman" w:cs="Times New Roman" w:eastAsia="Times New Roman" w:hAnsi="Times New Roman"/>
          <w:color w:val="888888"/>
          <w:sz w:val="22"/>
          <w:szCs w:val="22"/>
        </w:rPr>
        <w:t xml:space="preserve">[INSERT FIGURE 3.2: Diffusion Model Forward (Noise Addition) and Reverse (Denoising) Process — File: See Diagram_Guide.md]</w:t>
      </w:r>
    </w:p>
    <w:p>
      <w:pPr>
        <w:spacing w:after="160" w:before="60"/>
        <w:jc w:val="center"/>
      </w:pPr>
      <w:r>
        <w:rPr>
          <w:rFonts w:ascii="Times New Roman" w:cs="Times New Roman" w:eastAsia="Times New Roman" w:hAnsi="Times New Roman"/>
          <w:b/>
          <w:bCs/>
          <w:sz w:val="22"/>
          <w:szCs w:val="22"/>
        </w:rPr>
        <w:t xml:space="preserve">Fig. 3.2: Diffusion Model Forward (Noise Addition) and Reverse (Denoising) Process</w:t>
      </w:r>
    </w:p>
    <w:p>
      <w:pPr>
        <w:pStyle w:val="Heading3"/>
        <w:spacing w:after="80" w:before="160" w:line="360" w:lineRule="auto"/>
        <w:jc w:val="left"/>
      </w:pPr>
      <w:r>
        <w:rPr>
          <w:rFonts w:ascii="Times New Roman" w:cs="Times New Roman" w:eastAsia="Times New Roman" w:hAnsi="Times New Roman"/>
          <w:b/>
          <w:bCs/>
          <w:sz w:val="24"/>
          <w:szCs w:val="24"/>
        </w:rPr>
        <w:t xml:space="preserve">3.4.5  Adversarial Sample Generation Module</w:t>
      </w:r>
    </w:p>
    <w:p>
      <w:pPr>
        <w:spacing w:after="80" w:before="0" w:line="360" w:lineRule="auto"/>
        <w:jc w:val="both"/>
      </w:pPr>
      <w:r>
        <w:rPr>
          <w:rFonts w:ascii="Times New Roman" w:cs="Times New Roman" w:eastAsia="Times New Roman" w:hAnsi="Times New Roman"/>
          <w:sz w:val="24"/>
          <w:szCs w:val="24"/>
        </w:rPr>
        <w:t xml:space="preserve">For each malicious test sample x₀, partial forward diffusion adds noise to timestep t_mid = 500. The reverse denoising loop from t = 500 to t = 0 generates the adversarial sample. After each reverse step, immutable features are clamped to original values. Generated samples retain attack class labels.</w:t>
      </w:r>
    </w:p>
    <w:p>
      <w:pPr>
        <w:pStyle w:val="Heading3"/>
        <w:spacing w:after="80" w:before="160" w:line="360" w:lineRule="auto"/>
        <w:jc w:val="left"/>
      </w:pPr>
      <w:r>
        <w:rPr>
          <w:rFonts w:ascii="Times New Roman" w:cs="Times New Roman" w:eastAsia="Times New Roman" w:hAnsi="Times New Roman"/>
          <w:b/>
          <w:bCs/>
          <w:sz w:val="24"/>
          <w:szCs w:val="24"/>
        </w:rPr>
        <w:t xml:space="preserve">3.4.6  IDS Evaluation and Retraining Module</w:t>
      </w:r>
    </w:p>
    <w:p>
      <w:pPr>
        <w:spacing w:after="80" w:before="0" w:line="360" w:lineRule="auto"/>
        <w:jc w:val="both"/>
      </w:pPr>
      <w:r>
        <w:rPr>
          <w:rFonts w:ascii="Times New Roman" w:cs="Times New Roman" w:eastAsia="Times New Roman" w:hAnsi="Times New Roman"/>
          <w:sz w:val="24"/>
          <w:szCs w:val="24"/>
        </w:rPr>
        <w:t xml:space="preserve">Evasion Rate (ER) = fraction of adversarial samples misclassified as benign. For adversarial retraining, the training set is augmented with all adversarial samples (labeled as Attack) and all ten IDS models are retrained. Accuracy, F1, precision, recall, and evasion rate are reported before and after retraining.</w:t>
      </w:r>
    </w:p>
    <w:p>
      <w:pPr>
        <w:pStyle w:val="Heading2"/>
        <w:spacing w:after="100" w:before="200" w:line="360" w:lineRule="auto"/>
        <w:jc w:val="left"/>
      </w:pPr>
      <w:r>
        <w:rPr>
          <w:rFonts w:ascii="Times New Roman" w:cs="Times New Roman" w:eastAsia="Times New Roman" w:hAnsi="Times New Roman"/>
          <w:b/>
          <w:bCs/>
          <w:sz w:val="28"/>
          <w:szCs w:val="28"/>
        </w:rPr>
        <w:t xml:space="preserve">3.5  Dataset Description</w:t>
      </w:r>
    </w:p>
    <w:p>
      <w:pPr>
        <w:spacing w:after="80" w:before="0" w:line="360" w:lineRule="auto"/>
        <w:jc w:val="both"/>
      </w:pPr>
      <w:r>
        <w:rPr>
          <w:rFonts w:ascii="Times New Roman" w:cs="Times New Roman" w:eastAsia="Times New Roman" w:hAnsi="Times New Roman"/>
          <w:sz w:val="24"/>
          <w:szCs w:val="24"/>
        </w:rPr>
        <w:t xml:space="preserve">The CICIDS2017 dataset was generated by the Canadian Institute for Cybersecurity at UNB. It contains real-world network traffic captured over five working days, comprising benign traffic and 14 attack categories including DoS, DDoS, PortScan, Botnet, Brute Force, XSS, SQL Injection, and Infiltration.</w:t>
      </w:r>
    </w:p>
    <w:p>
      <w:pPr>
        <w:spacing w:after="60" w:before="160"/>
        <w:jc w:val="center"/>
      </w:pPr>
      <w:r>
        <w:rPr>
          <w:rFonts w:ascii="Times New Roman" w:cs="Times New Roman" w:eastAsia="Times New Roman" w:hAnsi="Times New Roman"/>
          <w:b/>
          <w:bCs/>
          <w:sz w:val="22"/>
          <w:szCs w:val="22"/>
        </w:rPr>
        <w:t xml:space="preserve">Table 3.1: CICIDS2017 Dataset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Property</w:t>
            </w:r>
          </w:p>
        </w:tc>
        <w:tc>
          <w:tcPr>
            <w:tcW w:type="dxa" w:w="6038"/>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Value</w:t>
            </w:r>
          </w:p>
        </w:tc>
      </w:tr>
      <w:tr>
        <w:tc>
          <w:tcPr>
            <w:tcW w:type="dxa" w:w="3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Total samples (after cleaning)</w:t>
            </w:r>
          </w:p>
        </w:tc>
        <w:tc>
          <w:tcPr>
            <w:tcW w:type="dxa" w:w="60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~2.83 million</w:t>
            </w:r>
          </w:p>
        </w:tc>
      </w:tr>
      <w:tr>
        <w:tc>
          <w:tcPr>
            <w:tcW w:type="dxa" w:w="3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Raw features</w:t>
            </w:r>
          </w:p>
        </w:tc>
        <w:tc>
          <w:tcPr>
            <w:tcW w:type="dxa" w:w="60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79 network traffic features</w:t>
            </w:r>
          </w:p>
        </w:tc>
      </w:tr>
      <w:tr>
        <w:tc>
          <w:tcPr>
            <w:tcW w:type="dxa" w:w="3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Attack categories</w:t>
            </w:r>
          </w:p>
        </w:tc>
        <w:tc>
          <w:tcPr>
            <w:tcW w:type="dxa" w:w="60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 (excluding Benign)</w:t>
            </w:r>
          </w:p>
        </w:tc>
      </w:tr>
      <w:tr>
        <w:tc>
          <w:tcPr>
            <w:tcW w:type="dxa" w:w="3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Majority class</w:t>
            </w:r>
          </w:p>
        </w:tc>
        <w:tc>
          <w:tcPr>
            <w:tcW w:type="dxa" w:w="60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Benign (~80% of all samples)</w:t>
            </w:r>
          </w:p>
        </w:tc>
      </w:tr>
      <w:tr>
        <w:tc>
          <w:tcPr>
            <w:tcW w:type="dxa" w:w="3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Train / Test split</w:t>
            </w:r>
          </w:p>
        </w:tc>
        <w:tc>
          <w:tcPr>
            <w:tcW w:type="dxa" w:w="60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80% / 20% (stratified, seed=42)</w:t>
            </w:r>
          </w:p>
        </w:tc>
      </w:tr>
      <w:tr>
        <w:tc>
          <w:tcPr>
            <w:tcW w:type="dxa" w:w="3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Source</w:t>
            </w:r>
          </w:p>
        </w:tc>
        <w:tc>
          <w:tcPr>
            <w:tcW w:type="dxa" w:w="60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Canadian Institute for Cybersecurity, UNB (2017)</w:t>
            </w:r>
          </w:p>
        </w:tc>
      </w:tr>
    </w:tbl>
    <w:p>
      <w:pPr>
        <w:pStyle w:val="Heading2"/>
        <w:spacing w:after="100" w:before="200" w:line="360" w:lineRule="auto"/>
        <w:jc w:val="left"/>
      </w:pPr>
      <w:r>
        <w:rPr>
          <w:rFonts w:ascii="Times New Roman" w:cs="Times New Roman" w:eastAsia="Times New Roman" w:hAnsi="Times New Roman"/>
          <w:b/>
          <w:bCs/>
          <w:sz w:val="28"/>
          <w:szCs w:val="28"/>
        </w:rPr>
        <w:t xml:space="preserve">3.6  DCTM Feature Set</w:t>
      </w:r>
    </w:p>
    <w:p>
      <w:pPr>
        <w:spacing w:after="80" w:before="0" w:line="360" w:lineRule="auto"/>
        <w:jc w:val="both"/>
      </w:pPr>
      <w:r>
        <w:rPr>
          <w:rFonts w:ascii="Times New Roman" w:cs="Times New Roman" w:eastAsia="Times New Roman" w:hAnsi="Times New Roman"/>
          <w:sz w:val="24"/>
          <w:szCs w:val="24"/>
        </w:rPr>
        <w:t xml:space="preserve">Table 3.2 lists the 20 features selected by the hybrid MI + SHAP ranking. These features cover flow duration, packet length statistics, inter-arrival times, flag counts, and byte rates.</w:t>
      </w:r>
    </w:p>
    <w:p>
      <w:pPr>
        <w:spacing w:after="60" w:before="160"/>
        <w:jc w:val="center"/>
      </w:pPr>
      <w:r>
        <w:rPr>
          <w:rFonts w:ascii="Times New Roman" w:cs="Times New Roman" w:eastAsia="Times New Roman" w:hAnsi="Times New Roman"/>
          <w:b/>
          <w:bCs/>
          <w:sz w:val="22"/>
          <w:szCs w:val="22"/>
        </w:rPr>
        <w:t xml:space="preserve">Table 3.2: DCTM Feature Set — 20 Selected Features</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500"/>
        <w:gridCol w:w="2838"/>
      </w:tblGrid>
      <w:tr>
        <w:trPr>
          <w:tblHeader/>
        </w:trPr>
        <w:tc>
          <w:tcPr>
            <w:tcW w:type="dxa" w:w="5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w:t>
            </w:r>
          </w:p>
        </w:tc>
        <w:tc>
          <w:tcPr>
            <w:tcW w:type="dxa" w:w="28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Feature Name</w:t>
            </w:r>
          </w:p>
        </w:tc>
        <w:tc>
          <w:tcPr>
            <w:tcW w:type="dxa" w:w="15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Category</w:t>
            </w:r>
          </w:p>
        </w:tc>
        <w:tc>
          <w:tcPr>
            <w:tcW w:type="dxa" w:w="2838"/>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Mutable</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Flow Duration</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Temporal</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Total Fwd Packets</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Packet Count</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Total Backward Packets</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Packet Count</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Total Length of Fwd Packets</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Byte Stat</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Fwd Packet Length Max</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Byte Stat</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Fwd Packet Length Mean</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Byte Stat</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Bwd Packet Length Max</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Byte Stat</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Bwd Packet Length Mean</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Byte Stat</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Flow Bytes/s</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Rate</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Flow Packets/s</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Rate</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11</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Flow IAT Mean</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IAT</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Flow IAT Std</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IAT</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13</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Fwd IAT Total</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IAT</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Fwd IAT Mean</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IAT</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15</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Bwd IAT Total</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IAT</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16</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PSH Flag Count</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Flag</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17</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ACK Flag Count</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Flag</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Yes</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18</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Destination Port</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Network</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No (Immutable)</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19</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URG Flag Count</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Flag</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No (Immutable)</w:t>
            </w:r>
          </w:p>
        </w:tc>
      </w:tr>
      <w:tr>
        <w:tc>
          <w:tcPr>
            <w:tcW w:type="dxa" w:w="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w:t>
            </w:r>
          </w:p>
        </w:tc>
        <w:tc>
          <w:tcPr>
            <w:tcW w:type="dxa" w:w="2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CWE Flag Count</w:t>
            </w:r>
          </w:p>
        </w:tc>
        <w:tc>
          <w:tcPr>
            <w:tcW w:type="dxa" w:w="15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Flag</w:t>
            </w:r>
          </w:p>
        </w:tc>
        <w:tc>
          <w:tcPr>
            <w:tcW w:type="dxa" w:w="28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No (Immutable)</w:t>
            </w:r>
          </w:p>
        </w:tc>
      </w:tr>
    </w:tbl>
    <w:p>
      <w:r>
        <w:br w:type="page"/>
      </w:r>
    </w:p>
    <w:p>
      <w:pPr>
        <w:pStyle w:val="Heading1"/>
        <w:spacing w:after="240" w:before="240" w:line="360" w:lineRule="auto"/>
        <w:jc w:val="center"/>
      </w:pPr>
      <w:r>
        <w:rPr>
          <w:rFonts w:ascii="Times New Roman" w:cs="Times New Roman" w:eastAsia="Times New Roman" w:hAnsi="Times New Roman"/>
          <w:b/>
          <w:bCs/>
          <w:sz w:val="32"/>
          <w:szCs w:val="32"/>
        </w:rPr>
        <w:t xml:space="preserve">CHAPTER 4: IMPLEMENTATION</w:t>
      </w:r>
    </w:p>
    <w:p>
      <w:pPr>
        <w:pStyle w:val="Heading2"/>
        <w:spacing w:after="100" w:before="200" w:line="360" w:lineRule="auto"/>
        <w:jc w:val="left"/>
      </w:pPr>
      <w:r>
        <w:rPr>
          <w:rFonts w:ascii="Times New Roman" w:cs="Times New Roman" w:eastAsia="Times New Roman" w:hAnsi="Times New Roman"/>
          <w:b/>
          <w:bCs/>
          <w:sz w:val="28"/>
          <w:szCs w:val="28"/>
        </w:rPr>
        <w:t xml:space="preserve">4.1  Development Environment</w:t>
      </w:r>
    </w:p>
    <w:p>
      <w:pPr>
        <w:spacing w:after="80" w:before="0" w:line="360" w:lineRule="auto"/>
        <w:jc w:val="both"/>
      </w:pPr>
      <w:r>
        <w:rPr>
          <w:rFonts w:ascii="Times New Roman" w:cs="Times New Roman" w:eastAsia="Times New Roman" w:hAnsi="Times New Roman"/>
          <w:sz w:val="24"/>
          <w:szCs w:val="24"/>
        </w:rPr>
        <w:t xml:space="preserve">The DCTM pipeline is implemented in Python 3.10 using PyTorch 2.x for deep learning components and scikit-learn 1.3 for classical IDS models. Diffusion model training and deep learning IDS training utilize an NVIDIA GPU (CUDA 12.1); classical models run on CPU. All intermediate artifacts are cached as Parquet/pickle files. The full pipeline is orchestrated through main.py with phase-based CLI flags (--phase preprocess | features | train | diffusion | attack | evaluate | retrain | report).</w:t>
      </w:r>
    </w:p>
    <w:p>
      <w:pPr>
        <w:pStyle w:val="Heading2"/>
        <w:spacing w:after="100" w:before="200" w:line="360" w:lineRule="auto"/>
        <w:jc w:val="left"/>
      </w:pPr>
      <w:r>
        <w:rPr>
          <w:rFonts w:ascii="Times New Roman" w:cs="Times New Roman" w:eastAsia="Times New Roman" w:hAnsi="Times New Roman"/>
          <w:b/>
          <w:bCs/>
          <w:sz w:val="28"/>
          <w:szCs w:val="28"/>
        </w:rPr>
        <w:t xml:space="preserve">4.2  Data Preprocessing</w:t>
      </w:r>
    </w:p>
    <w:p>
      <w:pPr>
        <w:spacing w:after="80" w:before="0" w:line="360" w:lineRule="auto"/>
        <w:jc w:val="both"/>
      </w:pPr>
      <w:r>
        <w:rPr>
          <w:rFonts w:ascii="Times New Roman" w:cs="Times New Roman" w:eastAsia="Times New Roman" w:hAnsi="Times New Roman"/>
          <w:sz w:val="24"/>
          <w:szCs w:val="24"/>
        </w:rPr>
        <w:t xml:space="preserve">Eight daily CICIDS2017 CSV files are read, concatenated, and deduplicated. Columns with zero variance are dropped. Infinite values — resulting from division-by-zero in CICFlowMeter feature extraction — are replaced with column medians. Class labels are mapped to binary (0 = BENIGN, 1 = Attack). A stratified 80/20 train-test split is applied with seed 42. Preprocessed data is stored in Parquet format for fast subsequent loading.</w:t>
      </w:r>
    </w:p>
    <w:p>
      <w:pPr>
        <w:pStyle w:val="Heading2"/>
        <w:spacing w:after="100" w:before="200" w:line="360" w:lineRule="auto"/>
        <w:jc w:val="left"/>
      </w:pPr>
      <w:r>
        <w:rPr>
          <w:rFonts w:ascii="Times New Roman" w:cs="Times New Roman" w:eastAsia="Times New Roman" w:hAnsi="Times New Roman"/>
          <w:b/>
          <w:bCs/>
          <w:sz w:val="28"/>
          <w:szCs w:val="28"/>
        </w:rPr>
        <w:t xml:space="preserve">4.3  Hybrid Feature Selection</w:t>
      </w:r>
    </w:p>
    <w:p>
      <w:pPr>
        <w:spacing w:after="80" w:before="0" w:line="360" w:lineRule="auto"/>
        <w:jc w:val="both"/>
      </w:pPr>
      <w:r>
        <w:rPr>
          <w:rFonts w:ascii="Times New Roman" w:cs="Times New Roman" w:eastAsia="Times New Roman" w:hAnsi="Times New Roman"/>
          <w:sz w:val="24"/>
          <w:szCs w:val="24"/>
        </w:rPr>
        <w:t xml:space="preserve">MI scores are computed on a 100,000-sample subsample. SHAP values are computed by training a LightGBM classifier on 50,000 samples and applying TreeExplainer. Both score vectors are min-max normalized to [0, 1] and averaged with equal weights (0.5 each). The top 20 features by combined score are written to a JSON configuration file and reused across all downstream phases. Figure 4.2 shows the resulting MI ranking.</w:t>
      </w:r>
    </w:p>
    <w:p>
      <w:pPr>
        <w:pBdr>
          <w:top w:val="dashed" w:color="AAAAAA" w:sz="4"/>
          <w:bottom w:val="dashed" w:color="AAAAAA" w:sz="4"/>
        </w:pBdr>
        <w:spacing w:after="60" w:before="120"/>
        <w:jc w:val="center"/>
      </w:pPr>
      <w:r>
        <w:rPr>
          <w:rFonts w:ascii="Times New Roman" w:cs="Times New Roman" w:eastAsia="Times New Roman" w:hAnsi="Times New Roman"/>
          <w:color w:val="888888"/>
          <w:sz w:val="22"/>
          <w:szCs w:val="22"/>
        </w:rPr>
        <w:t xml:space="preserve">[INSERT FIGURE 4.2: Mutual Information Feature Ranking — Top 20 Features — File: mi_feature_ranking.png (local: mini project/cleaned/feature_selection/)]</w:t>
      </w:r>
    </w:p>
    <w:p>
      <w:pPr>
        <w:spacing w:after="160" w:before="60"/>
        <w:jc w:val="center"/>
      </w:pPr>
      <w:r>
        <w:rPr>
          <w:rFonts w:ascii="Times New Roman" w:cs="Times New Roman" w:eastAsia="Times New Roman" w:hAnsi="Times New Roman"/>
          <w:b/>
          <w:bCs/>
          <w:sz w:val="22"/>
          <w:szCs w:val="22"/>
        </w:rPr>
        <w:t xml:space="preserve">Fig. 4.2: Mutual Information Feature Ranking — Top 20 Features</w:t>
      </w:r>
    </w:p>
    <w:p>
      <w:pPr>
        <w:pStyle w:val="Heading2"/>
        <w:spacing w:after="100" w:before="200" w:line="360" w:lineRule="auto"/>
        <w:jc w:val="left"/>
      </w:pPr>
      <w:r>
        <w:rPr>
          <w:rFonts w:ascii="Times New Roman" w:cs="Times New Roman" w:eastAsia="Times New Roman" w:hAnsi="Times New Roman"/>
          <w:b/>
          <w:bCs/>
          <w:sz w:val="28"/>
          <w:szCs w:val="28"/>
        </w:rPr>
        <w:t xml:space="preserve">4.4  SMOTE-Based Class Balancing</w:t>
      </w:r>
    </w:p>
    <w:p>
      <w:pPr>
        <w:spacing w:after="80" w:before="0" w:line="360" w:lineRule="auto"/>
        <w:jc w:val="both"/>
      </w:pPr>
      <w:r>
        <w:rPr>
          <w:rFonts w:ascii="Times New Roman" w:cs="Times New Roman" w:eastAsia="Times New Roman" w:hAnsi="Times New Roman"/>
          <w:sz w:val="24"/>
          <w:szCs w:val="24"/>
        </w:rPr>
        <w:t xml:space="preserve">SMOTE is applied to the training split only (never to the test set) using imbalanced-learn's SMOTE implementation, targeting a maximum of 50,000 samples per class. This expands minority attack classes while capping majority classes, substantially balancing the training distribution. Figure 4.1 shows the class distribution before and after SMOTE.</w:t>
      </w:r>
    </w:p>
    <w:p>
      <w:pPr>
        <w:pBdr>
          <w:top w:val="dashed" w:color="AAAAAA" w:sz="4"/>
          <w:bottom w:val="dashed" w:color="AAAAAA" w:sz="4"/>
        </w:pBdr>
        <w:spacing w:after="60" w:before="120"/>
        <w:jc w:val="center"/>
      </w:pPr>
      <w:r>
        <w:rPr>
          <w:rFonts w:ascii="Times New Roman" w:cs="Times New Roman" w:eastAsia="Times New Roman" w:hAnsi="Times New Roman"/>
          <w:color w:val="888888"/>
          <w:sz w:val="22"/>
          <w:szCs w:val="22"/>
        </w:rPr>
        <w:t xml:space="preserve">[INSERT FIGURE 4.1: Class Distribution Before and After SMOTE — CICIDS2017 — File: class_distribution_baseline.png &amp; class_distribution_dctm.png (Drive: DCTM/visualization/)]</w:t>
      </w:r>
    </w:p>
    <w:p>
      <w:pPr>
        <w:spacing w:after="160" w:before="60"/>
        <w:jc w:val="center"/>
      </w:pPr>
      <w:r>
        <w:rPr>
          <w:rFonts w:ascii="Times New Roman" w:cs="Times New Roman" w:eastAsia="Times New Roman" w:hAnsi="Times New Roman"/>
          <w:b/>
          <w:bCs/>
          <w:sz w:val="22"/>
          <w:szCs w:val="22"/>
        </w:rPr>
        <w:t xml:space="preserve">Fig. 4.1: Class Distribution Before and After SMOTE — CICIDS2017</w:t>
      </w:r>
    </w:p>
    <w:p>
      <w:pPr>
        <w:pStyle w:val="Heading2"/>
        <w:spacing w:after="100" w:before="200" w:line="360" w:lineRule="auto"/>
        <w:jc w:val="left"/>
      </w:pPr>
      <w:r>
        <w:rPr>
          <w:rFonts w:ascii="Times New Roman" w:cs="Times New Roman" w:eastAsia="Times New Roman" w:hAnsi="Times New Roman"/>
          <w:b/>
          <w:bCs/>
          <w:sz w:val="28"/>
          <w:szCs w:val="28"/>
        </w:rPr>
        <w:t xml:space="preserve">4.5  IDS Model Training</w:t>
      </w:r>
    </w:p>
    <w:p>
      <w:pPr>
        <w:spacing w:after="80" w:before="0" w:line="360" w:lineRule="auto"/>
        <w:jc w:val="both"/>
      </w:pPr>
      <w:r>
        <w:rPr>
          <w:rFonts w:ascii="Times New Roman" w:cs="Times New Roman" w:eastAsia="Times New Roman" w:hAnsi="Times New Roman"/>
          <w:sz w:val="24"/>
          <w:szCs w:val="24"/>
        </w:rPr>
        <w:t xml:space="preserve">All ten IDS models share a unified interface (train, predict, predict_proba, save, load). Classical models wrap scikit-learn estimators with pickle serialization. SVM training is capped at 50,000 samples to manage wall-clock time. Logistic Regression uses the saga solver (max 1,000 iterations). Deep learning models use Adam optimizer (lr = 1e-3), cross-entropy loss, and early stopping on the validation set. Input dimension is 20 for all models; output is a binary classification logit.</w:t>
      </w:r>
    </w:p>
    <w:p>
      <w:pPr>
        <w:pStyle w:val="Heading2"/>
        <w:spacing w:after="100" w:before="200" w:line="360" w:lineRule="auto"/>
        <w:jc w:val="left"/>
      </w:pPr>
      <w:r>
        <w:rPr>
          <w:rFonts w:ascii="Times New Roman" w:cs="Times New Roman" w:eastAsia="Times New Roman" w:hAnsi="Times New Roman"/>
          <w:b/>
          <w:bCs/>
          <w:sz w:val="28"/>
          <w:szCs w:val="28"/>
        </w:rPr>
        <w:t xml:space="preserve">4.6  Transformer Denoiser</w:t>
      </w:r>
    </w:p>
    <w:p>
      <w:pPr>
        <w:spacing w:after="80" w:before="0" w:line="360" w:lineRule="auto"/>
        <w:jc w:val="both"/>
      </w:pPr>
      <w:r>
        <w:rPr>
          <w:rFonts w:ascii="Times New Roman" w:cs="Times New Roman" w:eastAsia="Times New Roman" w:hAnsi="Times New Roman"/>
          <w:sz w:val="24"/>
          <w:szCs w:val="24"/>
        </w:rPr>
        <w:t xml:space="preserve">The TransformerDenoiser architecture is trained per attack class: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Timestep Embedding: Sinusoidal encoding (128D) → SiLU → Linear → 256D</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Input Projection: Linear 20 → 256</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Transformer Encoder: 4 × TransformerEncoderLayer (nhead=4, dim_feedforward=512, dropout=0.1)</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Output Projection: Linear 256 → 20 (predicted noise vector ε̂)</w:t>
      </w:r>
    </w:p>
    <w:p>
      <w:pPr>
        <w:spacing w:line="360" w:lineRule="auto"/>
      </w:pPr>
      <w:r>
        <w:t xml:space="preserve"/>
      </w:r>
    </w:p>
    <w:p>
      <w:pPr>
        <w:spacing w:after="80" w:before="0" w:line="360" w:lineRule="auto"/>
        <w:jc w:val="both"/>
      </w:pPr>
      <w:r>
        <w:rPr>
          <w:rFonts w:ascii="Times New Roman" w:cs="Times New Roman" w:eastAsia="Times New Roman" w:hAnsi="Times New Roman"/>
          <w:sz w:val="24"/>
          <w:szCs w:val="24"/>
        </w:rPr>
        <w:t xml:space="preserve">Training objective: L = E[||ε − ε_θ(x_t, t)||²]. Linear beta schedule: β₁ = 0.0001 to β_T = 0.02 over T = 1000 timesteps. Forward process: x_t = √(ᾱ_t) x₀ + √(1 − ᾱ_t)ε, where ᾱ_t = ∏ᵢ(1 − βᵢ).</w:t>
      </w:r>
    </w:p>
    <w:p>
      <w:pPr>
        <w:pStyle w:val="Heading2"/>
        <w:spacing w:after="100" w:before="200" w:line="360" w:lineRule="auto"/>
        <w:jc w:val="left"/>
      </w:pPr>
      <w:r>
        <w:rPr>
          <w:rFonts w:ascii="Times New Roman" w:cs="Times New Roman" w:eastAsia="Times New Roman" w:hAnsi="Times New Roman"/>
          <w:b/>
          <w:bCs/>
          <w:sz w:val="28"/>
          <w:szCs w:val="28"/>
        </w:rPr>
        <w:t xml:space="preserve">4.7  Adversarial Sample Generation</w:t>
      </w:r>
    </w:p>
    <w:p>
      <w:pPr>
        <w:spacing w:after="80" w:before="0" w:line="360" w:lineRule="auto"/>
        <w:jc w:val="both"/>
      </w:pPr>
      <w:r>
        <w:rPr>
          <w:rFonts w:ascii="Times New Roman" w:cs="Times New Roman" w:eastAsia="Times New Roman" w:hAnsi="Times New Roman"/>
          <w:sz w:val="24"/>
          <w:szCs w:val="24"/>
        </w:rPr>
        <w:t xml:space="preserve">For each malicious test sample x₀: (1) Partial forward diffusion to t_mid = 500 using the closed-form q-sample equation; (2) Full reverse denoising from t = 500 to t = 0, clamping immutable features after each step; (3) Final x₀ is the adversarial example. Adversarial samples retain their original attack labels (preserving malicious intent) but are presented to the IDS for classification to measure evasion.</w:t>
      </w:r>
    </w:p>
    <w:p>
      <w:pPr>
        <w:pStyle w:val="Heading2"/>
        <w:spacing w:after="100" w:before="200" w:line="360" w:lineRule="auto"/>
        <w:jc w:val="left"/>
      </w:pPr>
      <w:r>
        <w:rPr>
          <w:rFonts w:ascii="Times New Roman" w:cs="Times New Roman" w:eastAsia="Times New Roman" w:hAnsi="Times New Roman"/>
          <w:b/>
          <w:bCs/>
          <w:sz w:val="28"/>
          <w:szCs w:val="28"/>
        </w:rPr>
        <w:t xml:space="preserve">4.8  Adversarial Retraining</w:t>
      </w:r>
    </w:p>
    <w:p>
      <w:pPr>
        <w:spacing w:after="80" w:before="0" w:line="360" w:lineRule="auto"/>
        <w:jc w:val="both"/>
      </w:pPr>
      <w:r>
        <w:rPr>
          <w:rFonts w:ascii="Times New Roman" w:cs="Times New Roman" w:eastAsia="Times New Roman" w:hAnsi="Times New Roman"/>
          <w:sz w:val="24"/>
          <w:szCs w:val="24"/>
        </w:rPr>
        <w:t xml:space="preserve">All adversarial samples are appended to the original training set with correct attack labels (label = 1). All ten IDS models are retrained from scratch on this augmented dataset. Post-retraining evaluation is performed on both the clean test set (to confirm clean performance is maintained) and the adversarial test set (to measure evasion resistance improvement).</w:t>
      </w:r>
    </w:p>
    <w:p>
      <w:r>
        <w:br w:type="page"/>
      </w:r>
    </w:p>
    <w:p>
      <w:pPr>
        <w:pStyle w:val="Heading1"/>
        <w:spacing w:after="240" w:before="240" w:line="360" w:lineRule="auto"/>
        <w:jc w:val="center"/>
      </w:pPr>
      <w:r>
        <w:rPr>
          <w:rFonts w:ascii="Times New Roman" w:cs="Times New Roman" w:eastAsia="Times New Roman" w:hAnsi="Times New Roman"/>
          <w:b/>
          <w:bCs/>
          <w:sz w:val="32"/>
          <w:szCs w:val="32"/>
        </w:rPr>
        <w:t xml:space="preserve">CHAPTER 5: RESULTS AND DISCUSSION</w:t>
      </w:r>
    </w:p>
    <w:p>
      <w:pPr>
        <w:pStyle w:val="Heading2"/>
        <w:spacing w:after="100" w:before="200" w:line="360" w:lineRule="auto"/>
        <w:jc w:val="left"/>
      </w:pPr>
      <w:r>
        <w:rPr>
          <w:rFonts w:ascii="Times New Roman" w:cs="Times New Roman" w:eastAsia="Times New Roman" w:hAnsi="Times New Roman"/>
          <w:b/>
          <w:bCs/>
          <w:sz w:val="28"/>
          <w:szCs w:val="28"/>
        </w:rPr>
        <w:t xml:space="preserve">5.1  Baseline IDS Performance</w:t>
      </w:r>
    </w:p>
    <w:p>
      <w:pPr>
        <w:spacing w:after="80" w:before="0" w:line="360" w:lineRule="auto"/>
        <w:jc w:val="both"/>
      </w:pPr>
      <w:r>
        <w:rPr>
          <w:rFonts w:ascii="Times New Roman" w:cs="Times New Roman" w:eastAsia="Times New Roman" w:hAnsi="Times New Roman"/>
          <w:sz w:val="24"/>
          <w:szCs w:val="24"/>
        </w:rPr>
        <w:t xml:space="preserve">Table 5.1 compares all ten IDS classifiers on clean test data for both feature sets. The DCTM feature set consistently outperforms the 10-feature baseline for tree-based and deep learning models.</w:t>
      </w:r>
    </w:p>
    <w:p>
      <w:pPr>
        <w:spacing w:after="60" w:before="160"/>
        <w:jc w:val="center"/>
      </w:pPr>
      <w:r>
        <w:rPr>
          <w:rFonts w:ascii="Times New Roman" w:cs="Times New Roman" w:eastAsia="Times New Roman" w:hAnsi="Times New Roman"/>
          <w:b/>
          <w:bCs/>
          <w:sz w:val="22"/>
          <w:szCs w:val="22"/>
        </w:rPr>
        <w:t xml:space="preserve">Table 5.1: IDS Baseline Performance — DCTM vs. Baseline Feature Set (CICIDS2017)</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100"/>
        <w:gridCol w:w="1200"/>
        <w:gridCol w:w="1100"/>
        <w:gridCol w:w="1100"/>
        <w:gridCol w:w="1238"/>
      </w:tblGrid>
      <w:tr>
        <w:trPr>
          <w:tblHeader/>
        </w:trPr>
        <w:tc>
          <w:tcPr>
            <w:tcW w:type="dxa" w:w="17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Model</w:t>
            </w:r>
          </w:p>
        </w:tc>
        <w:tc>
          <w:tcPr>
            <w:tcW w:type="dxa" w:w="12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Baseline Acc.</w:t>
            </w:r>
          </w:p>
        </w:tc>
        <w:tc>
          <w:tcPr>
            <w:tcW w:type="dxa" w:w="11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Baseline F1</w:t>
            </w:r>
          </w:p>
        </w:tc>
        <w:tc>
          <w:tcPr>
            <w:tcW w:type="dxa" w:w="12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DCTM Acc.</w:t>
            </w:r>
          </w:p>
        </w:tc>
        <w:tc>
          <w:tcPr>
            <w:tcW w:type="dxa" w:w="11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DCTM F1</w:t>
            </w:r>
          </w:p>
        </w:tc>
        <w:tc>
          <w:tcPr>
            <w:tcW w:type="dxa" w:w="11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DCTM AUC</w:t>
            </w:r>
          </w:p>
        </w:tc>
        <w:tc>
          <w:tcPr>
            <w:tcW w:type="dxa" w:w="1238"/>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Acc. Gain</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Decision Tree</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84.86%</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55.77%</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99.11%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74.71%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98.42%</w:t>
            </w:r>
          </w:p>
        </w:tc>
        <w:tc>
          <w:tcPr>
            <w:tcW w:type="dxa" w:w="12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+14.25%</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Naive Bayes</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15.50%</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18.46%</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38.96%</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29.28%</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94.59%</w:t>
            </w:r>
          </w:p>
        </w:tc>
        <w:tc>
          <w:tcPr>
            <w:tcW w:type="dxa" w:w="12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+23.46%</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Logistic Reg.</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47.54%</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18.91%</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41.04%</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24.67%</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95.62%</w:t>
            </w:r>
          </w:p>
        </w:tc>
        <w:tc>
          <w:tcPr>
            <w:tcW w:type="dxa" w:w="12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−6.50%</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Random Forest</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85.26%</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58.49%</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99.46%</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80.53%</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99.98%</w:t>
            </w:r>
          </w:p>
        </w:tc>
        <w:tc>
          <w:tcPr>
            <w:tcW w:type="dxa" w:w="12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+14.20%</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XGBoost</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85.27%</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58.60%</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99.68%</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80.73%</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99.98%</w:t>
            </w:r>
          </w:p>
        </w:tc>
        <w:tc>
          <w:tcPr>
            <w:tcW w:type="dxa" w:w="12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+14.41%</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SVM</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43.96%</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18.71%</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56.21%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34.81%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97.31%</w:t>
            </w:r>
          </w:p>
        </w:tc>
        <w:tc>
          <w:tcPr>
            <w:tcW w:type="dxa" w:w="12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+12.25%</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MLP</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65.76%</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26.70%</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88.70%</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46.14%</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99.83%</w:t>
            </w:r>
          </w:p>
        </w:tc>
        <w:tc>
          <w:tcPr>
            <w:tcW w:type="dxa" w:w="12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+22.94%</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CNN</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69.01%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27.96%</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87.26%</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46.64%</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99.71%</w:t>
            </w:r>
          </w:p>
        </w:tc>
        <w:tc>
          <w:tcPr>
            <w:tcW w:type="dxa" w:w="12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+18.25%</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RNN</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68.91%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29.77%</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94.61%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59.22%</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99.72%</w:t>
            </w:r>
          </w:p>
        </w:tc>
        <w:tc>
          <w:tcPr>
            <w:tcW w:type="dxa" w:w="12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+25.70%</w:t>
            </w:r>
          </w:p>
        </w:tc>
      </w:tr>
      <w:tr>
        <w:tc>
          <w:tcPr>
            <w:tcW w:type="dxa" w:w="17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CNN-BiLSTM</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73.95%</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32.88%</w:t>
            </w:r>
          </w:p>
        </w:tc>
        <w:tc>
          <w:tcPr>
            <w:tcW w:type="dxa" w:w="12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94.39%</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58.00%</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99.87%</w:t>
            </w:r>
          </w:p>
        </w:tc>
        <w:tc>
          <w:tcPr>
            <w:tcW w:type="dxa" w:w="12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+20.44%</w:t>
            </w:r>
          </w:p>
        </w:tc>
      </w:tr>
    </w:tbl>
    <w:p>
      <w:pPr>
        <w:spacing w:line="360" w:lineRule="auto"/>
      </w:pPr>
      <w:r>
        <w:t xml:space="preserve"/>
      </w:r>
    </w:p>
    <w:p>
      <w:pPr>
        <w:spacing w:after="80" w:before="0" w:line="360" w:lineRule="auto"/>
        <w:jc w:val="both"/>
      </w:pPr>
      <w:r>
        <w:rPr>
          <w:rFonts w:ascii="Times New Roman" w:cs="Times New Roman" w:eastAsia="Times New Roman" w:hAnsi="Times New Roman"/>
          <w:sz w:val="24"/>
          <w:szCs w:val="24"/>
        </w:rPr>
        <w:t xml:space="preserve">Tree-based ensemble methods (Random Forest, XGBoost) and Decision Tree achieve accuracy above 99% with DCTM features. Deep learning models also show substantial gains, with RNN improving by 25.70 percentage points. Random Forest and XGBoost reach AUC = 99.98%, indicating near-perfect discriminability across all classification thresholds.</w:t>
      </w:r>
    </w:p>
    <w:p>
      <w:pPr>
        <w:pStyle w:val="Heading2"/>
        <w:spacing w:after="100" w:before="200" w:line="360" w:lineRule="auto"/>
        <w:jc w:val="left"/>
      </w:pPr>
      <w:r>
        <w:rPr>
          <w:rFonts w:ascii="Times New Roman" w:cs="Times New Roman" w:eastAsia="Times New Roman" w:hAnsi="Times New Roman"/>
          <w:b/>
          <w:bCs/>
          <w:sz w:val="28"/>
          <w:szCs w:val="28"/>
        </w:rPr>
        <w:t xml:space="preserve">5.2  Adversarial Evasion Results (Before Retraining)</w:t>
      </w:r>
    </w:p>
    <w:p>
      <w:pPr>
        <w:spacing w:after="80" w:before="0" w:line="360" w:lineRule="auto"/>
        <w:jc w:val="both"/>
      </w:pPr>
      <w:r>
        <w:rPr>
          <w:rFonts w:ascii="Times New Roman" w:cs="Times New Roman" w:eastAsia="Times New Roman" w:hAnsi="Times New Roman"/>
          <w:sz w:val="24"/>
          <w:szCs w:val="24"/>
        </w:rPr>
        <w:t xml:space="preserve">Table 5.2 presents evasion results. Evasion Rate (ER) measures the fraction of adversarial samples successfully misclassified as benign — higher ER = more successful attack.</w:t>
      </w:r>
    </w:p>
    <w:p>
      <w:pPr>
        <w:spacing w:after="60" w:before="160"/>
        <w:jc w:val="center"/>
      </w:pPr>
      <w:r>
        <w:rPr>
          <w:rFonts w:ascii="Times New Roman" w:cs="Times New Roman" w:eastAsia="Times New Roman" w:hAnsi="Times New Roman"/>
          <w:b/>
          <w:bCs/>
          <w:sz w:val="22"/>
          <w:szCs w:val="22"/>
        </w:rPr>
        <w:t xml:space="preserve">Table 5.2: Adversarial Evasion Results Before Retraining</w:t>
      </w:r>
    </w:p>
    <w:tbl>
      <w:tblPr>
        <w:tblW w:type="dxa" w:w="7638"/>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100"/>
        <w:gridCol w:w="1100"/>
        <w:gridCol w:w="1100"/>
        <w:gridCol w:w="1438"/>
      </w:tblGrid>
      <w:tr>
        <w:trPr>
          <w:tblHeader/>
        </w:trPr>
        <w:tc>
          <w:tcPr>
            <w:tcW w:type="dxa" w:w="18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Model</w:t>
            </w:r>
          </w:p>
        </w:tc>
        <w:tc>
          <w:tcPr>
            <w:tcW w:type="dxa" w:w="11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Clean Acc.</w:t>
            </w:r>
          </w:p>
        </w:tc>
        <w:tc>
          <w:tcPr>
            <w:tcW w:type="dxa" w:w="11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Clean F1</w:t>
            </w:r>
          </w:p>
        </w:tc>
        <w:tc>
          <w:tcPr>
            <w:tcW w:type="dxa" w:w="11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Adv. Acc.</w:t>
            </w:r>
          </w:p>
        </w:tc>
        <w:tc>
          <w:tcPr>
            <w:tcW w:type="dxa" w:w="11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Adv. F1</w:t>
            </w:r>
          </w:p>
        </w:tc>
        <w:tc>
          <w:tcPr>
            <w:tcW w:type="dxa" w:w="1438"/>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Evasion Rate</w:t>
            </w:r>
          </w:p>
        </w:tc>
      </w:tr>
      <w:tr>
        <w:tc>
          <w:tcPr>
            <w:tcW w:type="dxa" w:w="1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Decision Tree</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99.11%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74.71%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3.05%</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3.81%</w:t>
            </w:r>
          </w:p>
        </w:tc>
        <w:tc>
          <w:tcPr>
            <w:tcW w:type="dxa" w:w="14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40.67%</w:t>
            </w:r>
          </w:p>
        </w:tc>
      </w:tr>
      <w:tr>
        <w:tc>
          <w:tcPr>
            <w:tcW w:type="dxa" w:w="1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Naive Bayes</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38.96%</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29.28%</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1.08%</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1.51%</w:t>
            </w:r>
          </w:p>
        </w:tc>
        <w:tc>
          <w:tcPr>
            <w:tcW w:type="dxa" w:w="14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93.56%</w:t>
            </w:r>
          </w:p>
        </w:tc>
      </w:tr>
      <w:tr>
        <w:tc>
          <w:tcPr>
            <w:tcW w:type="dxa" w:w="1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Logistic Reg.</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41.04%</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24.67%</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6.92%</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3.48%</w:t>
            </w:r>
          </w:p>
        </w:tc>
        <w:tc>
          <w:tcPr>
            <w:tcW w:type="dxa" w:w="14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12.66%</w:t>
            </w:r>
          </w:p>
        </w:tc>
      </w:tr>
      <w:tr>
        <w:tc>
          <w:tcPr>
            <w:tcW w:type="dxa" w:w="1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Random Forest</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99.46%</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80.53%</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0.04%</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0.06%</w:t>
            </w:r>
          </w:p>
        </w:tc>
        <w:tc>
          <w:tcPr>
            <w:tcW w:type="dxa" w:w="14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61.12%</w:t>
            </w:r>
          </w:p>
        </w:tc>
      </w:tr>
      <w:tr>
        <w:tc>
          <w:tcPr>
            <w:tcW w:type="dxa" w:w="1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XGBoost</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99.68%</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80.73%</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1.29%</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1.84%</w:t>
            </w:r>
          </w:p>
        </w:tc>
        <w:tc>
          <w:tcPr>
            <w:tcW w:type="dxa" w:w="14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59.86%</w:t>
            </w:r>
          </w:p>
        </w:tc>
      </w:tr>
      <w:tr>
        <w:tc>
          <w:tcPr>
            <w:tcW w:type="dxa" w:w="1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SVM</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56.21%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34.81%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4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100.00%</w:t>
            </w:r>
          </w:p>
        </w:tc>
      </w:tr>
      <w:tr>
        <w:tc>
          <w:tcPr>
            <w:tcW w:type="dxa" w:w="1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MLP</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88.70%</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46.14%</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2.93%</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1.78%</w:t>
            </w:r>
          </w:p>
        </w:tc>
        <w:tc>
          <w:tcPr>
            <w:tcW w:type="dxa" w:w="14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59.17%</w:t>
            </w:r>
          </w:p>
        </w:tc>
      </w:tr>
      <w:tr>
        <w:tc>
          <w:tcPr>
            <w:tcW w:type="dxa" w:w="1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CNN</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87.26%</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46.64%</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2.79%</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1.87%</w:t>
            </w:r>
          </w:p>
        </w:tc>
        <w:tc>
          <w:tcPr>
            <w:tcW w:type="dxa" w:w="14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52.68%</w:t>
            </w:r>
          </w:p>
        </w:tc>
      </w:tr>
      <w:tr>
        <w:tc>
          <w:tcPr>
            <w:tcW w:type="dxa" w:w="1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RNN</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94.61%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59.22%</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1.77%</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1.17%</w:t>
            </w:r>
          </w:p>
        </w:tc>
        <w:tc>
          <w:tcPr>
            <w:tcW w:type="dxa" w:w="14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49.37%</w:t>
            </w:r>
          </w:p>
        </w:tc>
      </w:tr>
      <w:tr>
        <w:tc>
          <w:tcPr>
            <w:tcW w:type="dxa" w:w="18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CNN-BiLSTM</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94.39%</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58.00%</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5.35%</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1.46%</w:t>
            </w:r>
          </w:p>
        </w:tc>
        <w:tc>
          <w:tcPr>
            <w:tcW w:type="dxa" w:w="14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14.98%</w:t>
            </w:r>
          </w:p>
        </w:tc>
      </w:tr>
    </w:tbl>
    <w:p>
      <w:pPr>
        <w:spacing w:line="360" w:lineRule="auto"/>
      </w:pPr>
      <w:r>
        <w:t xml:space="preserve"/>
      </w:r>
    </w:p>
    <w:p>
      <w:pPr>
        <w:spacing w:after="80" w:before="0" w:line="360" w:lineRule="auto"/>
        <w:jc w:val="both"/>
      </w:pPr>
      <w:r>
        <w:rPr>
          <w:rFonts w:ascii="Times New Roman" w:cs="Times New Roman" w:eastAsia="Times New Roman" w:hAnsi="Times New Roman"/>
          <w:sz w:val="24"/>
          <w:szCs w:val="24"/>
        </w:rPr>
        <w:t xml:space="preserve">The adversarial attack is highly effective: SVM is completely evaded (100%), Naive Bayes reaches 93.56%, and Random Forest and XGBoost drop from near-perfect clean accuracy to virtually zero adversarial accuracy. Even CNN-BiLSTM, the most robust model, suffers 14.98% evasion. Figure 5.1 compares evasion rates with the DEMGAN reference of 97.42%.</w:t>
      </w:r>
    </w:p>
    <w:p>
      <w:pPr>
        <w:pBdr>
          <w:top w:val="dashed" w:color="AAAAAA" w:sz="4"/>
          <w:bottom w:val="dashed" w:color="AAAAAA" w:sz="4"/>
        </w:pBdr>
        <w:spacing w:after="60" w:before="120"/>
        <w:jc w:val="center"/>
      </w:pPr>
      <w:r>
        <w:rPr>
          <w:rFonts w:ascii="Times New Roman" w:cs="Times New Roman" w:eastAsia="Times New Roman" w:hAnsi="Times New Roman"/>
          <w:color w:val="888888"/>
          <w:sz w:val="22"/>
          <w:szCs w:val="22"/>
        </w:rPr>
        <w:t xml:space="preserve">[INSERT FIGURE 5.1: Adversarial Evasion Rate per IDS Model — DEMGAN reference 0.9742 shown — File: evasion_comparison.png (Drive: DCTM/visualization/)]</w:t>
      </w:r>
    </w:p>
    <w:p>
      <w:pPr>
        <w:spacing w:after="160" w:before="60"/>
        <w:jc w:val="center"/>
      </w:pPr>
      <w:r>
        <w:rPr>
          <w:rFonts w:ascii="Times New Roman" w:cs="Times New Roman" w:eastAsia="Times New Roman" w:hAnsi="Times New Roman"/>
          <w:b/>
          <w:bCs/>
          <w:sz w:val="22"/>
          <w:szCs w:val="22"/>
        </w:rPr>
        <w:t xml:space="preserve">Fig. 5.1: Adversarial Evasion Rate per IDS Model — DEMGAN reference 0.9742 shown</w:t>
      </w:r>
    </w:p>
    <w:p>
      <w:pPr>
        <w:pStyle w:val="Heading2"/>
        <w:spacing w:after="100" w:before="200" w:line="360" w:lineRule="auto"/>
        <w:jc w:val="left"/>
      </w:pPr>
      <w:r>
        <w:rPr>
          <w:rFonts w:ascii="Times New Roman" w:cs="Times New Roman" w:eastAsia="Times New Roman" w:hAnsi="Times New Roman"/>
          <w:b/>
          <w:bCs/>
          <w:sz w:val="28"/>
          <w:szCs w:val="28"/>
        </w:rPr>
        <w:t xml:space="preserve">5.3  Post-Retraining Defense Results</w:t>
      </w:r>
    </w:p>
    <w:p>
      <w:pPr>
        <w:spacing w:after="80" w:before="0" w:line="360" w:lineRule="auto"/>
        <w:jc w:val="both"/>
      </w:pPr>
      <w:r>
        <w:rPr>
          <w:rFonts w:ascii="Times New Roman" w:cs="Times New Roman" w:eastAsia="Times New Roman" w:hAnsi="Times New Roman"/>
          <w:sz w:val="24"/>
          <w:szCs w:val="24"/>
        </w:rPr>
        <w:t xml:space="preserve">Table 5.3 shows IDS performance after adversarial retraining. Retraining dramatically reduces evasion rates, particularly for ensemble models.</w:t>
      </w:r>
    </w:p>
    <w:p>
      <w:pPr>
        <w:spacing w:after="60" w:before="160"/>
        <w:jc w:val="center"/>
      </w:pPr>
      <w:r>
        <w:rPr>
          <w:rFonts w:ascii="Times New Roman" w:cs="Times New Roman" w:eastAsia="Times New Roman" w:hAnsi="Times New Roman"/>
          <w:b/>
          <w:bCs/>
          <w:sz w:val="22"/>
          <w:szCs w:val="22"/>
        </w:rPr>
        <w:t xml:space="preserve">Table 5.3: IDS Performance After Adversarial Retraining</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1600"/>
        <w:gridCol w:w="1050"/>
        <w:gridCol w:w="1000"/>
        <w:gridCol w:w="1000"/>
        <w:gridCol w:w="1000"/>
        <w:gridCol w:w="1100"/>
        <w:gridCol w:w="1888"/>
      </w:tblGrid>
      <w:tr>
        <w:trPr>
          <w:tblHeader/>
        </w:trPr>
        <w:tc>
          <w:tcPr>
            <w:tcW w:type="dxa" w:w="16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Model</w:t>
            </w:r>
          </w:p>
        </w:tc>
        <w:tc>
          <w:tcPr>
            <w:tcW w:type="dxa" w:w="105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Clean Acc.</w:t>
            </w:r>
          </w:p>
        </w:tc>
        <w:tc>
          <w:tcPr>
            <w:tcW w:type="dxa" w:w="10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Clean F1</w:t>
            </w:r>
          </w:p>
        </w:tc>
        <w:tc>
          <w:tcPr>
            <w:tcW w:type="dxa" w:w="10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Adv. Acc.</w:t>
            </w:r>
          </w:p>
        </w:tc>
        <w:tc>
          <w:tcPr>
            <w:tcW w:type="dxa" w:w="10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Adv. F1</w:t>
            </w:r>
          </w:p>
        </w:tc>
        <w:tc>
          <w:tcPr>
            <w:tcW w:type="dxa" w:w="11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Evasion Rate</w:t>
            </w:r>
          </w:p>
        </w:tc>
        <w:tc>
          <w:tcPr>
            <w:tcW w:type="dxa" w:w="1888"/>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ER Reduction</w:t>
            </w:r>
          </w:p>
        </w:tc>
      </w:tr>
      <w:tr>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Decision Tree</w:t>
            </w:r>
          </w:p>
        </w:tc>
        <w:tc>
          <w:tcPr>
            <w:tcW w:type="dxa" w:w="105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99.11%</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75.73%</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64.44%</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50.69%</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0.20%</w:t>
            </w:r>
          </w:p>
        </w:tc>
        <w:tc>
          <w:tcPr>
            <w:tcW w:type="dxa" w:w="188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−40.47 pp</w:t>
            </w:r>
          </w:p>
        </w:tc>
      </w:tr>
      <w:tr>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Naive Bayes</w:t>
            </w:r>
          </w:p>
        </w:tc>
        <w:tc>
          <w:tcPr>
            <w:tcW w:type="dxa" w:w="105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82.43%</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18.81%</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14.86%</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12.43%</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88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−93.56 pp</w:t>
            </w:r>
          </w:p>
        </w:tc>
      </w:tr>
      <w:tr>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Logistic Reg.</w:t>
            </w:r>
          </w:p>
        </w:tc>
        <w:tc>
          <w:tcPr>
            <w:tcW w:type="dxa" w:w="105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22.70%</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21.36%</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14.79%</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11.47%</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0.57%</w:t>
            </w:r>
          </w:p>
        </w:tc>
        <w:tc>
          <w:tcPr>
            <w:tcW w:type="dxa" w:w="188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−12.09 pp</w:t>
            </w:r>
          </w:p>
        </w:tc>
      </w:tr>
      <w:tr>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Random Forest</w:t>
            </w:r>
          </w:p>
        </w:tc>
        <w:tc>
          <w:tcPr>
            <w:tcW w:type="dxa" w:w="105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99.44%</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82.04%</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95.52%</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95.58%</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88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−61.12 pp</w:t>
            </w:r>
          </w:p>
        </w:tc>
      </w:tr>
      <w:tr>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XGBoost</w:t>
            </w:r>
          </w:p>
        </w:tc>
        <w:tc>
          <w:tcPr>
            <w:tcW w:type="dxa" w:w="105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99.65%</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82.49%</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84.35%</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84.40%</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88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−59.86 pp</w:t>
            </w:r>
          </w:p>
        </w:tc>
      </w:tr>
      <w:tr>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SVM</w:t>
            </w:r>
          </w:p>
        </w:tc>
        <w:tc>
          <w:tcPr>
            <w:tcW w:type="dxa" w:w="105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68.58%</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32.18%</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10.91%</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5.82%</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88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−100.00 pp</w:t>
            </w:r>
          </w:p>
        </w:tc>
      </w:tr>
      <w:tr>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MLP</w:t>
            </w:r>
          </w:p>
        </w:tc>
        <w:tc>
          <w:tcPr>
            <w:tcW w:type="dxa" w:w="105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88.72%</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46.97%</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25.39%</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17.72%</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88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−59.17 pp</w:t>
            </w:r>
          </w:p>
        </w:tc>
      </w:tr>
      <w:tr>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CNN</w:t>
            </w:r>
          </w:p>
        </w:tc>
        <w:tc>
          <w:tcPr>
            <w:tcW w:type="dxa" w:w="105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88.83%</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47.50%</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12.71%</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5.87%</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88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−52.68 pp</w:t>
            </w:r>
          </w:p>
        </w:tc>
      </w:tr>
      <w:tr>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RNN</w:t>
            </w:r>
          </w:p>
        </w:tc>
        <w:tc>
          <w:tcPr>
            <w:tcW w:type="dxa" w:w="105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94.46%</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55.47%</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13.07%</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6.01%</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88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−49.37 pp</w:t>
            </w:r>
          </w:p>
        </w:tc>
      </w:tr>
      <w:tr>
        <w:tc>
          <w:tcPr>
            <w:tcW w:type="dxa" w:w="16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CNN-BiLSTM</w:t>
            </w:r>
          </w:p>
        </w:tc>
        <w:tc>
          <w:tcPr>
            <w:tcW w:type="dxa" w:w="105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94.78%</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55.95%</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12.98%</w:t>
            </w:r>
          </w:p>
        </w:tc>
        <w:tc>
          <w:tcPr>
            <w:tcW w:type="dxa" w:w="1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7.14%</w:t>
            </w:r>
          </w:p>
        </w:tc>
        <w:tc>
          <w:tcPr>
            <w:tcW w:type="dxa" w:w="11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0.00%</w:t>
            </w:r>
          </w:p>
        </w:tc>
        <w:tc>
          <w:tcPr>
            <w:tcW w:type="dxa" w:w="188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−14.98 pp</w:t>
            </w:r>
          </w:p>
        </w:tc>
      </w:tr>
    </w:tbl>
    <w:p>
      <w:pPr>
        <w:spacing w:line="360" w:lineRule="auto"/>
      </w:pPr>
      <w:r>
        <w:t xml:space="preserve"/>
      </w:r>
    </w:p>
    <w:p>
      <w:pPr>
        <w:spacing w:after="80" w:before="0" w:line="360" w:lineRule="auto"/>
        <w:jc w:val="both"/>
      </w:pPr>
      <w:r>
        <w:rPr>
          <w:rFonts w:ascii="Times New Roman" w:cs="Times New Roman" w:eastAsia="Times New Roman" w:hAnsi="Times New Roman"/>
          <w:sz w:val="24"/>
          <w:szCs w:val="24"/>
        </w:rPr>
        <w:t xml:space="preserve">Random Forest achieves the best post-retraining balance: 99.44% clean and 95.52% adversarial accuracy with 0% evasion. XGBoost achieves 99.65% clean and 84.35% adversarial with 0% evasion. Eight of ten models reach 0% or near-0% evasion after retraining. Figure 5.2 shows the before-versus-after evasion rate comparison.</w:t>
      </w:r>
    </w:p>
    <w:p>
      <w:pPr>
        <w:pBdr>
          <w:top w:val="dashed" w:color="AAAAAA" w:sz="4"/>
          <w:bottom w:val="dashed" w:color="AAAAAA" w:sz="4"/>
        </w:pBdr>
        <w:spacing w:after="60" w:before="120"/>
        <w:jc w:val="center"/>
      </w:pPr>
      <w:r>
        <w:rPr>
          <w:rFonts w:ascii="Times New Roman" w:cs="Times New Roman" w:eastAsia="Times New Roman" w:hAnsi="Times New Roman"/>
          <w:color w:val="888888"/>
          <w:sz w:val="22"/>
          <w:szCs w:val="22"/>
        </w:rPr>
        <w:t xml:space="preserve">[INSERT FIGURE 5.2: Retraining Impact: Evasion Rate Before vs. After (all 10 models) — File: retraining_improvement.png (Drive: DCTM/visualization/)]</w:t>
      </w:r>
    </w:p>
    <w:p>
      <w:pPr>
        <w:spacing w:after="160" w:before="60"/>
        <w:jc w:val="center"/>
      </w:pPr>
      <w:r>
        <w:rPr>
          <w:rFonts w:ascii="Times New Roman" w:cs="Times New Roman" w:eastAsia="Times New Roman" w:hAnsi="Times New Roman"/>
          <w:b/>
          <w:bCs/>
          <w:sz w:val="22"/>
          <w:szCs w:val="22"/>
        </w:rPr>
        <w:t xml:space="preserve">Fig. 5.2: Retraining Impact: Evasion Rate Before vs. After (all 10 models)</w:t>
      </w:r>
    </w:p>
    <w:p>
      <w:pPr>
        <w:spacing w:after="80" w:before="0" w:line="360" w:lineRule="auto"/>
        <w:jc w:val="both"/>
      </w:pPr>
      <w:r>
        <w:rPr>
          <w:rFonts w:ascii="Times New Roman" w:cs="Times New Roman" w:eastAsia="Times New Roman" w:hAnsi="Times New Roman"/>
          <w:sz w:val="24"/>
          <w:szCs w:val="24"/>
        </w:rPr>
        <w:t xml:space="preserve">Confusion matrices for the four strongest post-retraining models are shown in Figures 5.3 through 5.6.</w:t>
      </w:r>
    </w:p>
    <w:p>
      <w:pPr>
        <w:pBdr>
          <w:top w:val="dashed" w:color="AAAAAA" w:sz="4"/>
          <w:bottom w:val="dashed" w:color="AAAAAA" w:sz="4"/>
        </w:pBdr>
        <w:spacing w:after="60" w:before="120"/>
        <w:jc w:val="center"/>
      </w:pPr>
      <w:r>
        <w:rPr>
          <w:rFonts w:ascii="Times New Roman" w:cs="Times New Roman" w:eastAsia="Times New Roman" w:hAnsi="Times New Roman"/>
          <w:color w:val="888888"/>
          <w:sz w:val="22"/>
          <w:szCs w:val="22"/>
        </w:rPr>
        <w:t xml:space="preserve">[INSERT FIGURE 5.3: Confusion Matrix — Random Forest (Post-Retraining) — File: cm_random_forest_dctm_retrained.png (Drive: DCTM/visualization/confusion_matrices/)]</w:t>
      </w:r>
    </w:p>
    <w:p>
      <w:pPr>
        <w:spacing w:after="160" w:before="60"/>
        <w:jc w:val="center"/>
      </w:pPr>
      <w:r>
        <w:rPr>
          <w:rFonts w:ascii="Times New Roman" w:cs="Times New Roman" w:eastAsia="Times New Roman" w:hAnsi="Times New Roman"/>
          <w:b/>
          <w:bCs/>
          <w:sz w:val="22"/>
          <w:szCs w:val="22"/>
        </w:rPr>
        <w:t xml:space="preserve">Fig. 5.3: Confusion Matrix — Random Forest (Post-Retraining)</w:t>
      </w:r>
    </w:p>
    <w:p>
      <w:pPr>
        <w:pBdr>
          <w:top w:val="dashed" w:color="AAAAAA" w:sz="4"/>
          <w:bottom w:val="dashed" w:color="AAAAAA" w:sz="4"/>
        </w:pBdr>
        <w:spacing w:after="60" w:before="120"/>
        <w:jc w:val="center"/>
      </w:pPr>
      <w:r>
        <w:rPr>
          <w:rFonts w:ascii="Times New Roman" w:cs="Times New Roman" w:eastAsia="Times New Roman" w:hAnsi="Times New Roman"/>
          <w:color w:val="888888"/>
          <w:sz w:val="22"/>
          <w:szCs w:val="22"/>
        </w:rPr>
        <w:t xml:space="preserve">[INSERT FIGURE 5.4: Confusion Matrix — XGBoost (Post-Retraining) — File: cm_xgboost_dctm_retrained.png (Drive: DCTM/visualization/confusion_matrices/)]</w:t>
      </w:r>
    </w:p>
    <w:p>
      <w:pPr>
        <w:spacing w:after="160" w:before="60"/>
        <w:jc w:val="center"/>
      </w:pPr>
      <w:r>
        <w:rPr>
          <w:rFonts w:ascii="Times New Roman" w:cs="Times New Roman" w:eastAsia="Times New Roman" w:hAnsi="Times New Roman"/>
          <w:b/>
          <w:bCs/>
          <w:sz w:val="22"/>
          <w:szCs w:val="22"/>
        </w:rPr>
        <w:t xml:space="preserve">Fig. 5.4: Confusion Matrix — XGBoost (Post-Retraining)</w:t>
      </w:r>
    </w:p>
    <w:p>
      <w:pPr>
        <w:pBdr>
          <w:top w:val="dashed" w:color="AAAAAA" w:sz="4"/>
          <w:bottom w:val="dashed" w:color="AAAAAA" w:sz="4"/>
        </w:pBdr>
        <w:spacing w:after="60" w:before="120"/>
        <w:jc w:val="center"/>
      </w:pPr>
      <w:r>
        <w:rPr>
          <w:rFonts w:ascii="Times New Roman" w:cs="Times New Roman" w:eastAsia="Times New Roman" w:hAnsi="Times New Roman"/>
          <w:color w:val="888888"/>
          <w:sz w:val="22"/>
          <w:szCs w:val="22"/>
        </w:rPr>
        <w:t xml:space="preserve">[INSERT FIGURE 5.5: Confusion Matrix — Decision Tree (Post-Retraining) — File: cm_decision_tree_dctm_retrained.png (Drive: DCTM/visualization/confusion_matrices/)]</w:t>
      </w:r>
    </w:p>
    <w:p>
      <w:pPr>
        <w:spacing w:after="160" w:before="60"/>
        <w:jc w:val="center"/>
      </w:pPr>
      <w:r>
        <w:rPr>
          <w:rFonts w:ascii="Times New Roman" w:cs="Times New Roman" w:eastAsia="Times New Roman" w:hAnsi="Times New Roman"/>
          <w:b/>
          <w:bCs/>
          <w:sz w:val="22"/>
          <w:szCs w:val="22"/>
        </w:rPr>
        <w:t xml:space="preserve">Fig. 5.5: Confusion Matrix — Decision Tree (Post-Retraining)</w:t>
      </w:r>
    </w:p>
    <w:p>
      <w:pPr>
        <w:pBdr>
          <w:top w:val="dashed" w:color="AAAAAA" w:sz="4"/>
          <w:bottom w:val="dashed" w:color="AAAAAA" w:sz="4"/>
        </w:pBdr>
        <w:spacing w:after="60" w:before="120"/>
        <w:jc w:val="center"/>
      </w:pPr>
      <w:r>
        <w:rPr>
          <w:rFonts w:ascii="Times New Roman" w:cs="Times New Roman" w:eastAsia="Times New Roman" w:hAnsi="Times New Roman"/>
          <w:color w:val="888888"/>
          <w:sz w:val="22"/>
          <w:szCs w:val="22"/>
        </w:rPr>
        <w:t xml:space="preserve">[INSERT FIGURE 5.6: Confusion Matrix — CNN-BiLSTM (Post-Retraining) — File: cm_cnn_bilstm_dctm_retrained.png (Drive: DCTM/visualization/confusion_matrices/)]</w:t>
      </w:r>
    </w:p>
    <w:p>
      <w:pPr>
        <w:spacing w:after="160" w:before="60"/>
        <w:jc w:val="center"/>
      </w:pPr>
      <w:r>
        <w:rPr>
          <w:rFonts w:ascii="Times New Roman" w:cs="Times New Roman" w:eastAsia="Times New Roman" w:hAnsi="Times New Roman"/>
          <w:b/>
          <w:bCs/>
          <w:sz w:val="22"/>
          <w:szCs w:val="22"/>
        </w:rPr>
        <w:t xml:space="preserve">Fig. 5.6: Confusion Matrix — CNN-BiLSTM (Post-Retraining)</w:t>
      </w:r>
    </w:p>
    <w:p>
      <w:pPr>
        <w:pStyle w:val="Heading2"/>
        <w:spacing w:after="100" w:before="200" w:line="360" w:lineRule="auto"/>
        <w:jc w:val="left"/>
      </w:pPr>
      <w:r>
        <w:rPr>
          <w:rFonts w:ascii="Times New Roman" w:cs="Times New Roman" w:eastAsia="Times New Roman" w:hAnsi="Times New Roman"/>
          <w:b/>
          <w:bCs/>
          <w:sz w:val="28"/>
          <w:szCs w:val="28"/>
        </w:rPr>
        <w:t xml:space="preserve">5.4  Comparison with DEMGAN</w:t>
      </w:r>
    </w:p>
    <w:p>
      <w:pPr>
        <w:spacing w:after="60" w:before="160"/>
        <w:jc w:val="center"/>
      </w:pPr>
      <w:r>
        <w:rPr>
          <w:rFonts w:ascii="Times New Roman" w:cs="Times New Roman" w:eastAsia="Times New Roman" w:hAnsi="Times New Roman"/>
          <w:b/>
          <w:bCs/>
          <w:sz w:val="22"/>
          <w:szCs w:val="22"/>
        </w:rPr>
        <w:t xml:space="preserve">Table 5.4: Comparison of DCTM with DEMGAN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738"/>
      </w:tblGrid>
      <w:tr>
        <w:trPr>
          <w:tblHeader/>
        </w:trPr>
        <w:tc>
          <w:tcPr>
            <w:tcW w:type="dxa" w:w="30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Criterion</w:t>
            </w:r>
          </w:p>
        </w:tc>
        <w:tc>
          <w:tcPr>
            <w:tcW w:type="dxa" w:w="2900"/>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DEMGAN [1]</w:t>
            </w:r>
          </w:p>
        </w:tc>
        <w:tc>
          <w:tcPr>
            <w:tcW w:type="dxa" w:w="3738"/>
            <w:tcBorders>
              <w:top w:val="single" w:color="333333" w:sz="6"/>
              <w:left w:val="single" w:color="333333" w:sz="6"/>
              <w:bottom w:val="single" w:color="333333" w:sz="6"/>
              <w:right w:val="single" w:color="333333" w:sz="6"/>
            </w:tcBorders>
            <w:shd w:fill="D9D9D9"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0"/>
                <w:szCs w:val="20"/>
              </w:rPr>
              <w:t xml:space="preserve">DCTM (Ours)</w:t>
            </w:r>
          </w:p>
        </w:tc>
      </w:tr>
      <w:tr>
        <w:tc>
          <w:tcPr>
            <w:tcW w:type="dxa" w:w="3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Generator Architecture</w:t>
            </w:r>
          </w:p>
        </w:tc>
        <w:tc>
          <w:tcPr>
            <w:tcW w:type="dxa" w:w="29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Multi-Gen WGAN</w:t>
            </w:r>
          </w:p>
        </w:tc>
        <w:tc>
          <w:tcPr>
            <w:tcW w:type="dxa" w:w="37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Transformer-based DDPM</w:t>
            </w:r>
          </w:p>
        </w:tc>
      </w:tr>
      <w:tr>
        <w:tc>
          <w:tcPr>
            <w:tcW w:type="dxa" w:w="3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Training Stability</w:t>
            </w:r>
          </w:p>
        </w:tc>
        <w:tc>
          <w:tcPr>
            <w:tcW w:type="dxa" w:w="29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Unstable (adversarial game)</w:t>
            </w:r>
          </w:p>
        </w:tc>
        <w:tc>
          <w:tcPr>
            <w:tcW w:type="dxa" w:w="37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Stable (MSE denoising objective)</w:t>
            </w:r>
          </w:p>
        </w:tc>
      </w:tr>
      <w:tr>
        <w:tc>
          <w:tcPr>
            <w:tcW w:type="dxa" w:w="3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Mode Collapse Risk</w:t>
            </w:r>
          </w:p>
        </w:tc>
        <w:tc>
          <w:tcPr>
            <w:tcW w:type="dxa" w:w="29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High (mitigated by multi-gen)</w:t>
            </w:r>
          </w:p>
        </w:tc>
        <w:tc>
          <w:tcPr>
            <w:tcW w:type="dxa" w:w="37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Structurally eliminated</w:t>
            </w:r>
          </w:p>
        </w:tc>
      </w:tr>
      <w:tr>
        <w:tc>
          <w:tcPr>
            <w:tcW w:type="dxa" w:w="3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Feature Set Size</w:t>
            </w:r>
          </w:p>
        </w:tc>
        <w:tc>
          <w:tcPr>
            <w:tcW w:type="dxa" w:w="29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 (MI only)</w:t>
            </w:r>
          </w:p>
        </w:tc>
        <w:tc>
          <w:tcPr>
            <w:tcW w:type="dxa" w:w="37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20 (MI + SHAP hybrid)</w:t>
            </w:r>
          </w:p>
        </w:tc>
      </w:tr>
      <w:tr>
        <w:tc>
          <w:tcPr>
            <w:tcW w:type="dxa" w:w="3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Class Imbalance Handling</w:t>
            </w:r>
          </w:p>
        </w:tc>
        <w:tc>
          <w:tcPr>
            <w:tcW w:type="dxa" w:w="29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None</w:t>
            </w:r>
          </w:p>
        </w:tc>
        <w:tc>
          <w:tcPr>
            <w:tcW w:type="dxa" w:w="37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SMOTE applied before training</w:t>
            </w:r>
          </w:p>
        </w:tc>
      </w:tr>
      <w:tr>
        <w:tc>
          <w:tcPr>
            <w:tcW w:type="dxa" w:w="3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IDS Models Evaluated</w:t>
            </w:r>
          </w:p>
        </w:tc>
        <w:tc>
          <w:tcPr>
            <w:tcW w:type="dxa" w:w="29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5 (classical only)</w:t>
            </w:r>
          </w:p>
        </w:tc>
        <w:tc>
          <w:tcPr>
            <w:tcW w:type="dxa" w:w="37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 (5 classical + 5 DL)</w:t>
            </w:r>
          </w:p>
        </w:tc>
      </w:tr>
      <w:tr>
        <w:tc>
          <w:tcPr>
            <w:tcW w:type="dxa" w:w="3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Best Evasion (pre-retrain)</w:t>
            </w:r>
          </w:p>
        </w:tc>
        <w:tc>
          <w:tcPr>
            <w:tcW w:type="dxa" w:w="29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97.42% avg (5 models)</w:t>
            </w:r>
          </w:p>
        </w:tc>
        <w:tc>
          <w:tcPr>
            <w:tcW w:type="dxa" w:w="37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100% SVM, 93.56% NB</w:t>
            </w:r>
          </w:p>
        </w:tc>
      </w:tr>
      <w:tr>
        <w:tc>
          <w:tcPr>
            <w:tcW w:type="dxa" w:w="30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Post-Retrain Defense</w:t>
            </w:r>
          </w:p>
        </w:tc>
        <w:tc>
          <w:tcPr>
            <w:tcW w:type="dxa" w:w="2900"/>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86.78% avg detection gain</w:t>
            </w:r>
          </w:p>
        </w:tc>
        <w:tc>
          <w:tcPr>
            <w:tcW w:type="dxa" w:w="3738"/>
            <w:tcBorders>
              <w:top w:val="single" w:color="333333" w:sz="6"/>
              <w:left w:val="single" w:color="333333" w:sz="6"/>
              <w:bottom w:val="single" w:color="333333" w:sz="6"/>
              <w:right w:val="single" w:color="333333" w:sz="6"/>
            </w:tcBorders>
            <w:shd w:fill="FFFFFF"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sz w:val="20"/>
                <w:szCs w:val="20"/>
              </w:rPr>
              <w:t xml:space="preserve">95.52% Adv. Acc. (RF, 0% ER)</w:t>
            </w:r>
          </w:p>
        </w:tc>
      </w:tr>
    </w:tbl>
    <w:p>
      <w:pPr>
        <w:pStyle w:val="Heading2"/>
        <w:spacing w:after="100" w:before="200" w:line="360" w:lineRule="auto"/>
        <w:jc w:val="left"/>
      </w:pPr>
      <w:r>
        <w:rPr>
          <w:rFonts w:ascii="Times New Roman" w:cs="Times New Roman" w:eastAsia="Times New Roman" w:hAnsi="Times New Roman"/>
          <w:b/>
          <w:bCs/>
          <w:sz w:val="28"/>
          <w:szCs w:val="28"/>
        </w:rPr>
        <w:t xml:space="preserve">5.5  Discussion</w:t>
      </w:r>
    </w:p>
    <w:p>
      <w:pPr>
        <w:spacing w:after="80" w:before="0" w:line="360" w:lineRule="auto"/>
        <w:jc w:val="both"/>
      </w:pPr>
      <w:r>
        <w:rPr>
          <w:rFonts w:ascii="Times New Roman" w:cs="Times New Roman" w:eastAsia="Times New Roman" w:hAnsi="Times New Roman"/>
          <w:sz w:val="24"/>
          <w:szCs w:val="24"/>
        </w:rPr>
        <w:t xml:space="preserve">Three key findings emerge from the results. First, the DCTM hybrid feature set provides substantially better clean IDS performance than the 10-feature baseline, with gains of up to 25.7% (RNN). This confirms that SHAP-based interaction features capture model-relevant relationships that MI alone misses.</w:t>
      </w:r>
    </w:p>
    <w:p>
      <w:pPr>
        <w:spacing w:after="80" w:before="0" w:line="360" w:lineRule="auto"/>
        <w:jc w:val="both"/>
      </w:pPr>
      <w:r>
        <w:rPr>
          <w:rFonts w:ascii="Times New Roman" w:cs="Times New Roman" w:eastAsia="Times New Roman" w:hAnsi="Times New Roman"/>
          <w:sz w:val="24"/>
          <w:szCs w:val="24"/>
        </w:rPr>
        <w:t xml:space="preserve">Second, all ten IDS models are highly vulnerable to diffusion-generated adversarial traffic, with evasion rates from 12.66% (Logistic Regression) to 100% (SVM). Notably, the strongest clean models (Random Forest at 99.46%, XGBoost at 99.68%) are among the most vulnerable adversarially (61.12% and 59.86% evasion), illustrating that clean accuracy is a poor proxy for adversarial robustness.</w:t>
      </w:r>
    </w:p>
    <w:p>
      <w:pPr>
        <w:spacing w:after="80" w:before="0" w:line="360" w:lineRule="auto"/>
        <w:jc w:val="both"/>
      </w:pPr>
      <w:r>
        <w:rPr>
          <w:rFonts w:ascii="Times New Roman" w:cs="Times New Roman" w:eastAsia="Times New Roman" w:hAnsi="Times New Roman"/>
          <w:sz w:val="24"/>
          <w:szCs w:val="24"/>
        </w:rPr>
        <w:t xml:space="preserve">Third, adversarial retraining is a highly effective defense for ensemble classifiers. Random Forest and XGBoost both achieve 0% evasion after retraining while maintaining near-perfect clean accuracy. Deep learning models show smaller adversarial accuracy gains after retraining (MLP: 25.39%, CNN: 12.71%), suggesting they may require longer retraining schedules or architectural defenses beyond data augmentation.</w:t>
      </w:r>
    </w:p>
    <w:p>
      <w:r>
        <w:br w:type="page"/>
      </w:r>
    </w:p>
    <w:p>
      <w:pPr>
        <w:pStyle w:val="Heading1"/>
        <w:spacing w:after="240" w:before="240" w:line="360" w:lineRule="auto"/>
        <w:jc w:val="center"/>
      </w:pPr>
      <w:r>
        <w:rPr>
          <w:rFonts w:ascii="Times New Roman" w:cs="Times New Roman" w:eastAsia="Times New Roman" w:hAnsi="Times New Roman"/>
          <w:b/>
          <w:bCs/>
          <w:sz w:val="32"/>
          <w:szCs w:val="32"/>
        </w:rPr>
        <w:t xml:space="preserve">CHAPTER 6: CONCLUSION AND FUTURE SCOPE</w:t>
      </w:r>
    </w:p>
    <w:p>
      <w:pPr>
        <w:pStyle w:val="Heading2"/>
        <w:spacing w:after="100" w:before="200" w:line="360" w:lineRule="auto"/>
        <w:jc w:val="left"/>
      </w:pPr>
      <w:r>
        <w:rPr>
          <w:rFonts w:ascii="Times New Roman" w:cs="Times New Roman" w:eastAsia="Times New Roman" w:hAnsi="Times New Roman"/>
          <w:b/>
          <w:bCs/>
          <w:sz w:val="28"/>
          <w:szCs w:val="28"/>
        </w:rPr>
        <w:t xml:space="preserve">6.1  Conclusion</w:t>
      </w:r>
    </w:p>
    <w:p>
      <w:pPr>
        <w:spacing w:after="80" w:before="0" w:line="360" w:lineRule="auto"/>
        <w:jc w:val="both"/>
      </w:pPr>
      <w:r>
        <w:rPr>
          <w:rFonts w:ascii="Times New Roman" w:cs="Times New Roman" w:eastAsia="Times New Roman" w:hAnsi="Times New Roman"/>
          <w:sz w:val="24"/>
          <w:szCs w:val="24"/>
        </w:rPr>
        <w:t xml:space="preserve">This project presented DCTM, a Diffusion-Based Cyber Threat Modelling framework for adversarial evaluation and hardening of ML/DL-based Intrusion Detection Systems. DCTM replaces the GAN-based generator of DEMGAN with a Transformer-based DDPM, expands the feature set from 10 to 20 via hybrid MI+SHAP selection, applies SMOTE class balancing, and evaluates against ten IDS models on CICIDS2017.</w:t>
      </w:r>
    </w:p>
    <w:p>
      <w:pPr>
        <w:spacing w:after="80" w:before="0" w:line="360" w:lineRule="auto"/>
        <w:jc w:val="both"/>
      </w:pPr>
      <w:r>
        <w:rPr>
          <w:rFonts w:ascii="Times New Roman" w:cs="Times New Roman" w:eastAsia="Times New Roman" w:hAnsi="Times New Roman"/>
          <w:sz w:val="24"/>
          <w:szCs w:val="24"/>
        </w:rPr>
        <w:t xml:space="preserve">Key results: the DCTM feature set improves clean IDS accuracy by up to 25.7%; diffusion-based adversarial generation achieves 100% evasion against SVM; adversarial retraining reduces evasion to 0% for eight of ten models, with Random Forest achieving 99.44% clean and 95.52% adversarial accuracy — surpassing DEMGAN's retraining defense. These results establish Transformer-based diffusion models as a principled, stable, and effective alternative to GANs for IDS adversarial evasion research.</w:t>
      </w:r>
    </w:p>
    <w:p>
      <w:pPr>
        <w:pStyle w:val="Heading2"/>
        <w:spacing w:after="100" w:before="200" w:line="360" w:lineRule="auto"/>
        <w:jc w:val="left"/>
      </w:pPr>
      <w:r>
        <w:rPr>
          <w:rFonts w:ascii="Times New Roman" w:cs="Times New Roman" w:eastAsia="Times New Roman" w:hAnsi="Times New Roman"/>
          <w:b/>
          <w:bCs/>
          <w:sz w:val="28"/>
          <w:szCs w:val="28"/>
        </w:rPr>
        <w:t xml:space="preserve">6.2  Future Scope</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Classifier-Guided Reverse Diffusion: Inject IDS classifier gradients into each reverse diffusion step (PGD-style guidance) to steer generation toward the IDS decision boundary and further increase evasion rates.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CICIDS2018 Full Evaluation: Extend the pipeline to CICIDS2018 for a comprehensive two-dataset comparison consistent with the DEMGAN evaluation protocol.</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DDIM Sampling: Replace the 1,000-step DDPM reverse process with DDIM (50 steps) to achieve ~20× faster adversarial sample generation, enabling near-real-time adversarial augmentation workflows.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Conditional Diffusion Model: Replace the current per-class separate denoiser approach with a single class-conditioned DDPM to reduce model storage and improve cross-class diversity.</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Multi-Class Evasion Analysis: Evaluate whether adversarial samples cause attack-class-to-attack-class misclassification (not just attack-to-benign), providing a richer characterization of IDS vulnerabilities.</w:t>
      </w:r>
    </w:p>
    <w:p>
      <w:pPr>
        <w:pStyle w:val="ListParagraph"/>
        <w:numPr>
          <w:ilvl w:val="0"/>
          <w:numId w:val="2"/>
        </w:numPr>
        <w:spacing w:after="60" w:line="360" w:lineRule="auto"/>
      </w:pPr>
      <w:r>
        <w:rPr>
          <w:rFonts w:ascii="Times New Roman" w:cs="Times New Roman" w:eastAsia="Times New Roman" w:hAnsi="Times New Roman"/>
          <w:sz w:val="24"/>
          <w:szCs w:val="24"/>
        </w:rPr>
        <w:t xml:space="preserve">Soft Constraint Loss: Add an immutability penalty term to the diffusion training loss (in addition to the inference-time hard clamping) to produce higher-fidelity adversarial samples.</w:t>
      </w:r>
    </w:p>
    <w:p>
      <w:r>
        <w:br w:type="page"/>
      </w:r>
    </w:p>
    <w:p>
      <w:pPr>
        <w:pStyle w:val="Heading1"/>
        <w:spacing w:after="240" w:before="240" w:line="360" w:lineRule="auto"/>
        <w:jc w:val="center"/>
      </w:pPr>
      <w:r>
        <w:rPr>
          <w:rFonts w:ascii="Times New Roman" w:cs="Times New Roman" w:eastAsia="Times New Roman" w:hAnsi="Times New Roman"/>
          <w:b/>
          <w:bCs/>
          <w:sz w:val="32"/>
          <w:szCs w:val="32"/>
        </w:rPr>
        <w:t xml:space="preserve">REFERENCES</w:t>
      </w:r>
    </w:p>
    <w:p>
      <w:pPr>
        <w:spacing w:after="60" w:before="60" w:line="360" w:lineRule="auto"/>
        <w:jc w:val="both"/>
      </w:pPr>
      <w:r>
        <w:rPr>
          <w:rFonts w:ascii="Times New Roman" w:cs="Times New Roman" w:eastAsia="Times New Roman" w:hAnsi="Times New Roman"/>
          <w:sz w:val="24"/>
          <w:szCs w:val="24"/>
        </w:rPr>
        <w:t xml:space="preserve">[1]	Xu, D., Lv, Y., Wang, M., Zheng, B., Zhao, J., &amp; Yu, J. (2025). DEMGAN: A Machine Learning-Based Intrusion Detection System Evasion Scheme. Computers, Materials &amp; Continua, 84(1). doi: 10.32604/cmc.2025.064833</w:t>
      </w:r>
    </w:p>
    <w:p>
      <w:pPr>
        <w:spacing w:after="60" w:before="60" w:line="360" w:lineRule="auto"/>
        <w:jc w:val="both"/>
      </w:pPr>
      <w:r>
        <w:rPr>
          <w:rFonts w:ascii="Times New Roman" w:cs="Times New Roman" w:eastAsia="Times New Roman" w:hAnsi="Times New Roman"/>
          <w:sz w:val="24"/>
          <w:szCs w:val="24"/>
        </w:rPr>
        <w:t xml:space="preserve">[2]	Arjovsky, M., Chintala, S., &amp; Bottou, L. (2017). Wasserstein GAN. Proceedings of the 34th International Conference on Machine Learning (ICML). arXiv:1701.07875.</w:t>
      </w:r>
    </w:p>
    <w:p>
      <w:pPr>
        <w:spacing w:after="60" w:before="60" w:line="360" w:lineRule="auto"/>
        <w:jc w:val="both"/>
      </w:pPr>
      <w:r>
        <w:rPr>
          <w:rFonts w:ascii="Times New Roman" w:cs="Times New Roman" w:eastAsia="Times New Roman" w:hAnsi="Times New Roman"/>
          <w:sz w:val="24"/>
          <w:szCs w:val="24"/>
        </w:rPr>
        <w:t xml:space="preserve">[3]	Goodfellow, I. J., Pouget-Abadie, J., Mirza, M., Xu, B., Warde-Farley, D., Ozair, S., Courville, A., &amp; Bengio, Y. (2014). Generative Adversarial Nets. Advances in Neural Information Processing Systems (NeurIPS). arXiv:1406.2661.</w:t>
      </w:r>
    </w:p>
    <w:p>
      <w:pPr>
        <w:spacing w:after="60" w:before="60" w:line="360" w:lineRule="auto"/>
        <w:jc w:val="both"/>
      </w:pPr>
      <w:r>
        <w:rPr>
          <w:rFonts w:ascii="Times New Roman" w:cs="Times New Roman" w:eastAsia="Times New Roman" w:hAnsi="Times New Roman"/>
          <w:sz w:val="24"/>
          <w:szCs w:val="24"/>
        </w:rPr>
        <w:t xml:space="preserve">[4]	Chawla, N. V., Bowyer, K. W., Hall, L. O., &amp; Kegelmeyer, W. P. (2002). SMOTE: Synthetic Minority Over-sampling Technique. Journal of Artificial Intelligence Research, 16, 321–357.</w:t>
      </w:r>
    </w:p>
    <w:p>
      <w:pPr>
        <w:spacing w:after="60" w:before="60" w:line="360" w:lineRule="auto"/>
        <w:jc w:val="both"/>
      </w:pPr>
      <w:r>
        <w:rPr>
          <w:rFonts w:ascii="Times New Roman" w:cs="Times New Roman" w:eastAsia="Times New Roman" w:hAnsi="Times New Roman"/>
          <w:sz w:val="24"/>
          <w:szCs w:val="24"/>
        </w:rPr>
        <w:t xml:space="preserve">[5]	Lundberg, S. M., &amp; Lee, S. I. (2017). A Unified Approach to Interpreting Model Predictions. Advances in Neural Information Processing Systems (NeurIPS). arXiv:1705.07874.</w:t>
      </w:r>
    </w:p>
    <w:p>
      <w:pPr>
        <w:spacing w:after="60" w:before="60" w:line="360" w:lineRule="auto"/>
        <w:jc w:val="both"/>
      </w:pPr>
      <w:r>
        <w:rPr>
          <w:rFonts w:ascii="Times New Roman" w:cs="Times New Roman" w:eastAsia="Times New Roman" w:hAnsi="Times New Roman"/>
          <w:sz w:val="24"/>
          <w:szCs w:val="24"/>
        </w:rPr>
        <w:t xml:space="preserve">[6]	Gocs, L., &amp; Johanyak, Z. C. (2023). Identifying Relevant Features of CSE-CIC-IDS2018 Dataset for the Development of an Intrusion Detection System. arXiv:2307.11544.</w:t>
      </w:r>
    </w:p>
    <w:p>
      <w:pPr>
        <w:spacing w:after="60" w:before="60" w:line="360" w:lineRule="auto"/>
        <w:jc w:val="both"/>
      </w:pPr>
      <w:r>
        <w:rPr>
          <w:rFonts w:ascii="Times New Roman" w:cs="Times New Roman" w:eastAsia="Times New Roman" w:hAnsi="Times New Roman"/>
          <w:sz w:val="24"/>
          <w:szCs w:val="24"/>
        </w:rPr>
        <w:t xml:space="preserve">[7]	Ho, J., Jain, A., &amp; Abbeel, P. (2020). Denoising Diffusion Probabilistic Models. Advances in Neural Information Processing Systems (NeurIPS), 33, 6840–6851.</w:t>
      </w:r>
    </w:p>
    <w:p>
      <w:pPr>
        <w:spacing w:after="60" w:before="60" w:line="360" w:lineRule="auto"/>
        <w:jc w:val="both"/>
      </w:pPr>
      <w:r>
        <w:rPr>
          <w:rFonts w:ascii="Times New Roman" w:cs="Times New Roman" w:eastAsia="Times New Roman" w:hAnsi="Times New Roman"/>
          <w:sz w:val="24"/>
          <w:szCs w:val="24"/>
        </w:rPr>
        <w:t xml:space="preserve">[8]	Sharafaldin, I., Lashkari, A. H., &amp; Ghorbani, A. A. (2018). Toward Generating a New Intrusion Detection Dataset and Intrusion Traffic Characterization. Proceedings of ICISSP 2018, pp. 108–116.</w:t>
      </w:r>
    </w:p>
    <w:sectPr>
      <w:headerReference w:type="default" r:id="rId8"/>
      <w:footerReference w:type="default" r:id="rId9"/>
      <w:pgSz w:w="11906" w:h="16838" w:orient="portrait"/>
      <w:pgMar w:top="1134" w:right="1134" w:bottom="851" w:left="1134"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4" w:space="4"/>
      </w:pBdr>
      <w:jc w:val="right"/>
    </w:pPr>
    <w:r>
      <w:rPr>
        <w:rFonts w:ascii="Times New Roman" w:cs="Times New Roman" w:eastAsia="Times New Roman" w:hAnsi="Times New Roman"/>
        <w:sz w:val="20"/>
        <w:szCs w:val="20"/>
      </w:rPr>
      <w:t xml:space="preserve">DCTM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2026-06-14T09:02:15.451Z</dcterms:created>
  <dcterms:modified xsi:type="dcterms:W3CDTF">2026-06-14T09:02:15.459Z</dcterms:modified>
</cp:coreProperties>
</file>

<file path=docProps/custom.xml><?xml version="1.0" encoding="utf-8"?>
<Properties xmlns="http://schemas.openxmlformats.org/officeDocument/2006/custom-properties" xmlns:vt="http://schemas.openxmlformats.org/officeDocument/2006/docPropsVTypes"/>
</file>