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pBdr>
          <w:bottom w:val="single" w:color="C9A24B" w:sz="12" w:space="10"/>
        </w:pBdr>
        <w:spacing w:after="500"/>
        <w:jc w:val="center"/>
      </w:pPr>
      <w:r>
        <w:rPr>
          <w:rFonts w:ascii="Calibri" w:cs="Calibri" w:eastAsia="Calibri" w:hAnsi="Calibri"/>
          <w:b/>
          <w:bCs/>
          <w:color w:val="C9A24B"/>
          <w:spacing w:val="30"/>
          <w:sz w:val="20"/>
          <w:szCs w:val="20"/>
        </w:rPr>
        <w:t xml:space="preserve">PROJECT PROPOSAL REPORT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B2A4A"/>
          <w:sz w:val="56"/>
          <w:szCs w:val="56"/>
        </w:rPr>
        <w:t xml:space="preserve">Smart Museum Visitor Experience</w:t>
      </w:r>
    </w:p>
    <w:p>
      <w:pPr>
        <w:spacing w:after="600"/>
        <w:jc w:val="center"/>
      </w:pPr>
      <w:r>
        <w:rPr>
          <w:rFonts w:ascii="Calibri" w:cs="Calibri" w:eastAsia="Calibri" w:hAnsi="Calibri"/>
          <w:b/>
          <w:bCs/>
          <w:color w:val="1B2A4A"/>
          <w:sz w:val="56"/>
          <w:szCs w:val="56"/>
        </w:rPr>
        <w:t xml:space="preserve">and Artifact Monitoring Platform</w:t>
      </w:r>
    </w:p>
    <w:p>
      <w:pPr>
        <w:spacing w:after="900"/>
        <w:jc w:val="center"/>
      </w:pPr>
      <w:r>
        <w:rPr>
          <w:rFonts w:ascii="Calibri" w:cs="Calibri" w:eastAsia="Calibri" w:hAnsi="Calibri"/>
          <w:i/>
          <w:iCs/>
          <w:color w:val="5A6B87"/>
          <w:sz w:val="24"/>
          <w:szCs w:val="24"/>
        </w:rPr>
        <w:t xml:space="preserve">An AI, IoT, RFID and Augmented-Reality Driven System for Personalized Engagement and Cultural Heritage Preservation</w:t>
      </w:r>
    </w:p>
    <w:p>
      <w:pPr>
        <w:spacing w:before="2400"/>
        <w:jc w:val="center"/>
      </w:pPr>
      <w:r>
        <w:rPr>
          <w:rFonts w:ascii="Calibri" w:cs="Calibri" w:eastAsia="Calibri" w:hAnsi="Calibri"/>
          <w:color w:val="2A2A2A"/>
          <w:sz w:val="21"/>
          <w:szCs w:val="21"/>
        </w:rPr>
        <w:t xml:space="preserve">Prepared for: Museum Digital Transformation Initiative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2A2A2A"/>
          <w:sz w:val="21"/>
          <w:szCs w:val="21"/>
        </w:rPr>
        <w:t xml:space="preserve">Document Type: Technical &amp; Strategic Report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2A2A2A"/>
          <w:sz w:val="21"/>
          <w:szCs w:val="21"/>
        </w:rPr>
        <w:t xml:space="preserve">Date: July 2026</w:t>
      </w:r>
    </w:p>
    <w:p>
      <w:r>
        <w:br w:type="page"/>
      </w:r>
    </w:p>
    <w:p>
      <w:pPr>
        <w:sectPr>
          <w:pgSz w:w="12240" w:h="15840" w:orient="portrait"/>
          <w:pgMar w:top="1000" w:right="1200" w:bottom="1000" w:left="120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C9A24B" w:sz="8" w:space="4"/>
        </w:pBdr>
        <w:spacing w:after="200" w:before="42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Table of Contents</w:t>
      </w:r>
    </w:p>
    <w:p>
      <w:pPr>
        <w:tabs>
          <w:tab w:val="right" w:pos="9360" w:leader="dot"/>
        </w:tabs>
        <w:spacing w:after="18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1.  </w:t>
      </w:r>
      <w:r>
        <w:rPr>
          <w:rFonts w:ascii="Calibri" w:cs="Calibri" w:eastAsia="Calibri" w:hAnsi="Calibri"/>
          <w:color w:val="2A2A2A"/>
          <w:sz w:val="22"/>
          <w:szCs w:val="22"/>
        </w:rPr>
        <w:t xml:space="preserve">Executive Summary</w:t>
      </w:r>
      <w:r>
        <w:rPr>
          <w:rFonts w:ascii="Calibri" w:cs="Calibri" w:eastAsia="Calibri" w:hAnsi="Calibri"/>
          <w:sz w:val="22"/>
          <w:szCs w:val="22"/>
        </w:rPr>
        <w:t xml:space="preserve">	</w:t>
      </w:r>
    </w:p>
    <w:p>
      <w:pPr>
        <w:tabs>
          <w:tab w:val="right" w:pos="9360" w:leader="dot"/>
        </w:tabs>
        <w:spacing w:after="18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2.  </w:t>
      </w:r>
      <w:r>
        <w:rPr>
          <w:rFonts w:ascii="Calibri" w:cs="Calibri" w:eastAsia="Calibri" w:hAnsi="Calibri"/>
          <w:color w:val="2A2A2A"/>
          <w:sz w:val="22"/>
          <w:szCs w:val="22"/>
        </w:rPr>
        <w:t xml:space="preserve">Industry Context</w:t>
      </w:r>
      <w:r>
        <w:rPr>
          <w:rFonts w:ascii="Calibri" w:cs="Calibri" w:eastAsia="Calibri" w:hAnsi="Calibri"/>
          <w:sz w:val="22"/>
          <w:szCs w:val="22"/>
        </w:rPr>
        <w:t xml:space="preserve">	</w:t>
      </w:r>
    </w:p>
    <w:p>
      <w:pPr>
        <w:tabs>
          <w:tab w:val="right" w:pos="9360" w:leader="dot"/>
        </w:tabs>
        <w:spacing w:after="18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3.  </w:t>
      </w:r>
      <w:r>
        <w:rPr>
          <w:rFonts w:ascii="Calibri" w:cs="Calibri" w:eastAsia="Calibri" w:hAnsi="Calibri"/>
          <w:color w:val="2A2A2A"/>
          <w:sz w:val="22"/>
          <w:szCs w:val="22"/>
        </w:rPr>
        <w:t xml:space="preserve">Problem Statement</w:t>
      </w:r>
      <w:r>
        <w:rPr>
          <w:rFonts w:ascii="Calibri" w:cs="Calibri" w:eastAsia="Calibri" w:hAnsi="Calibri"/>
          <w:sz w:val="22"/>
          <w:szCs w:val="22"/>
        </w:rPr>
        <w:t xml:space="preserve">	</w:t>
      </w:r>
    </w:p>
    <w:p>
      <w:pPr>
        <w:tabs>
          <w:tab w:val="right" w:pos="9360" w:leader="dot"/>
        </w:tabs>
        <w:spacing w:after="18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4.  </w:t>
      </w:r>
      <w:r>
        <w:rPr>
          <w:rFonts w:ascii="Calibri" w:cs="Calibri" w:eastAsia="Calibri" w:hAnsi="Calibri"/>
          <w:color w:val="2A2A2A"/>
          <w:sz w:val="22"/>
          <w:szCs w:val="22"/>
        </w:rPr>
        <w:t xml:space="preserve">Objectives</w:t>
      </w:r>
      <w:r>
        <w:rPr>
          <w:rFonts w:ascii="Calibri" w:cs="Calibri" w:eastAsia="Calibri" w:hAnsi="Calibri"/>
          <w:sz w:val="22"/>
          <w:szCs w:val="22"/>
        </w:rPr>
        <w:t xml:space="preserve">	</w:t>
      </w:r>
    </w:p>
    <w:p>
      <w:pPr>
        <w:tabs>
          <w:tab w:val="right" w:pos="9360" w:leader="dot"/>
        </w:tabs>
        <w:spacing w:after="18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5.  </w:t>
      </w:r>
      <w:r>
        <w:rPr>
          <w:rFonts w:ascii="Calibri" w:cs="Calibri" w:eastAsia="Calibri" w:hAnsi="Calibri"/>
          <w:color w:val="2A2A2A"/>
          <w:sz w:val="22"/>
          <w:szCs w:val="22"/>
        </w:rPr>
        <w:t xml:space="preserve">Proposed System Architecture</w:t>
      </w:r>
      <w:r>
        <w:rPr>
          <w:rFonts w:ascii="Calibri" w:cs="Calibri" w:eastAsia="Calibri" w:hAnsi="Calibri"/>
          <w:sz w:val="22"/>
          <w:szCs w:val="22"/>
        </w:rPr>
        <w:t xml:space="preserve">	</w:t>
      </w:r>
    </w:p>
    <w:p>
      <w:pPr>
        <w:tabs>
          <w:tab w:val="right" w:pos="9360" w:leader="dot"/>
        </w:tabs>
        <w:spacing w:after="18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6.  </w:t>
      </w:r>
      <w:r>
        <w:rPr>
          <w:rFonts w:ascii="Calibri" w:cs="Calibri" w:eastAsia="Calibri" w:hAnsi="Calibri"/>
          <w:color w:val="2A2A2A"/>
          <w:sz w:val="22"/>
          <w:szCs w:val="22"/>
        </w:rPr>
        <w:t xml:space="preserve">Key Features and Functional Modules</w:t>
      </w:r>
      <w:r>
        <w:rPr>
          <w:rFonts w:ascii="Calibri" w:cs="Calibri" w:eastAsia="Calibri" w:hAnsi="Calibri"/>
          <w:sz w:val="22"/>
          <w:szCs w:val="22"/>
        </w:rPr>
        <w:t xml:space="preserve">	</w:t>
      </w:r>
    </w:p>
    <w:p>
      <w:pPr>
        <w:tabs>
          <w:tab w:val="right" w:pos="9360" w:leader="dot"/>
        </w:tabs>
        <w:spacing w:after="18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7.  </w:t>
      </w:r>
      <w:r>
        <w:rPr>
          <w:rFonts w:ascii="Calibri" w:cs="Calibri" w:eastAsia="Calibri" w:hAnsi="Calibri"/>
          <w:color w:val="2A2A2A"/>
          <w:sz w:val="22"/>
          <w:szCs w:val="22"/>
        </w:rPr>
        <w:t xml:space="preserve">Technology Stack Overview</w:t>
      </w:r>
      <w:r>
        <w:rPr>
          <w:rFonts w:ascii="Calibri" w:cs="Calibri" w:eastAsia="Calibri" w:hAnsi="Calibri"/>
          <w:sz w:val="22"/>
          <w:szCs w:val="22"/>
        </w:rPr>
        <w:t xml:space="preserve">	</w:t>
      </w:r>
    </w:p>
    <w:p>
      <w:pPr>
        <w:tabs>
          <w:tab w:val="right" w:pos="9360" w:leader="dot"/>
        </w:tabs>
        <w:spacing w:after="18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8.  </w:t>
      </w:r>
      <w:r>
        <w:rPr>
          <w:rFonts w:ascii="Calibri" w:cs="Calibri" w:eastAsia="Calibri" w:hAnsi="Calibri"/>
          <w:color w:val="2A2A2A"/>
          <w:sz w:val="22"/>
          <w:szCs w:val="22"/>
        </w:rPr>
        <w:t xml:space="preserve">Expected Outcomes</w:t>
      </w:r>
      <w:r>
        <w:rPr>
          <w:rFonts w:ascii="Calibri" w:cs="Calibri" w:eastAsia="Calibri" w:hAnsi="Calibri"/>
          <w:sz w:val="22"/>
          <w:szCs w:val="22"/>
        </w:rPr>
        <w:t xml:space="preserve">	</w:t>
      </w:r>
    </w:p>
    <w:p>
      <w:pPr>
        <w:tabs>
          <w:tab w:val="right" w:pos="9360" w:leader="dot"/>
        </w:tabs>
        <w:spacing w:after="18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9.  </w:t>
      </w:r>
      <w:r>
        <w:rPr>
          <w:rFonts w:ascii="Calibri" w:cs="Calibri" w:eastAsia="Calibri" w:hAnsi="Calibri"/>
          <w:color w:val="2A2A2A"/>
          <w:sz w:val="22"/>
          <w:szCs w:val="22"/>
        </w:rPr>
        <w:t xml:space="preserve">Conclusion</w:t>
      </w:r>
      <w:r>
        <w:rPr>
          <w:rFonts w:ascii="Calibri" w:cs="Calibri" w:eastAsia="Calibri" w:hAnsi="Calibri"/>
          <w:sz w:val="22"/>
          <w:szCs w:val="22"/>
        </w:rPr>
        <w:t xml:space="preserve">	</w:t>
      </w:r>
    </w:p>
    <w:p>
      <w:r>
        <w:br w:type="page"/>
      </w:r>
    </w:p>
    <w:p>
      <w:pPr>
        <w:pStyle w:val="Heading1"/>
        <w:pBdr>
          <w:bottom w:val="single" w:color="C9A24B" w:sz="8" w:space="4"/>
        </w:pBdr>
        <w:spacing w:after="200" w:before="42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1.  Executive Summary</w:t>
      </w:r>
    </w:p>
    <w:p>
      <w:pPr>
        <w:spacing w:after="160" w:line="288"/>
        <w:jc w:val="both"/>
      </w:pPr>
      <w:r>
        <w:rPr>
          <w:rFonts w:ascii="Calibri" w:cs="Calibri" w:eastAsia="Calibri" w:hAnsi="Calibri"/>
          <w:color w:val="2A2A2A"/>
          <w:sz w:val="22"/>
          <w:szCs w:val="22"/>
        </w:rPr>
        <w:t xml:space="preserve">Museums are custodians of irreplaceable cultural heritage, yet many continue to rely on manual processes for artifact conservation and offer limited, static forms of visitor engagement. This report presents a proposal for a Smart Museum Visitor Experience and Artifact Monitoring Platform that unifies Internet of Things (IoT) sensing, Radio-Frequency Identification (RFID), Augmented Reality (AR), Artificial Intelligence (AI), and cloud computing into a single integrated system.</w:t>
      </w:r>
    </w:p>
    <w:p>
      <w:pPr>
        <w:spacing w:after="160" w:line="288"/>
        <w:jc w:val="both"/>
      </w:pPr>
      <w:r>
        <w:rPr>
          <w:rFonts w:ascii="Calibri" w:cs="Calibri" w:eastAsia="Calibri" w:hAnsi="Calibri"/>
          <w:color w:val="2A2A2A"/>
          <w:sz w:val="22"/>
          <w:szCs w:val="22"/>
        </w:rPr>
        <w:t xml:space="preserve">The platform is designed around two complementary goals: protecting the long-term physical integrity of artifacts through continuous environmental and security monitoring, and elevating the visitor experience through AI-driven personalization and immersive AR-based interpretation. In doing so, the system directly addresses the operational, curatorial, and experiential gaps present in conventional museum management approaches.</w:t>
      </w:r>
    </w:p>
    <w:p>
      <w:pPr>
        <w:spacing w:after="160" w:line="288"/>
        <w:jc w:val="both"/>
      </w:pPr>
      <w:r>
        <w:rPr>
          <w:rFonts w:ascii="Calibri" w:cs="Calibri" w:eastAsia="Calibri" w:hAnsi="Calibri"/>
          <w:color w:val="2A2A2A"/>
          <w:sz w:val="22"/>
          <w:szCs w:val="22"/>
        </w:rPr>
        <w:t xml:space="preserve">This document outlines the industry context, problem statement, project objectives, proposed system architecture, core functional modules, technology stack, and the expected outcomes of the platform, providing a foundation for planning, stakeholder alignment, and phased implementation.</w:t>
      </w:r>
    </w:p>
    <w:p>
      <w:pPr>
        <w:pStyle w:val="Heading1"/>
        <w:pBdr>
          <w:bottom w:val="single" w:color="C9A24B" w:sz="8" w:space="4"/>
        </w:pBdr>
        <w:spacing w:after="200" w:before="42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2.  Industry Context</w:t>
      </w:r>
    </w:p>
    <w:p>
      <w:pPr>
        <w:spacing w:after="160" w:line="288"/>
        <w:jc w:val="both"/>
      </w:pPr>
      <w:r>
        <w:rPr>
          <w:rFonts w:ascii="Calibri" w:cs="Calibri" w:eastAsia="Calibri" w:hAnsi="Calibri"/>
          <w:color w:val="2A2A2A"/>
          <w:sz w:val="22"/>
          <w:szCs w:val="22"/>
        </w:rPr>
        <w:t xml:space="preserve">The global museum sector is undergoing a significant digital transformation. Institutions are increasingly adopting connected technologies — AI, IoT, AR, RFID, and cloud computing — to modernize how they manage collections and engage the public. This shift is driven by rising visitor expectations for interactive, personalized experiences, alongside a growing recognition that environmental variables such as temperature, humidity, and light exposure directly affect the physical condition of artifacts over time.</w:t>
      </w:r>
    </w:p>
    <w:p>
      <w:pPr>
        <w:spacing w:after="160" w:line="288"/>
        <w:jc w:val="both"/>
      </w:pPr>
      <w:r>
        <w:rPr>
          <w:rFonts w:ascii="Calibri" w:cs="Calibri" w:eastAsia="Calibri" w:hAnsi="Calibri"/>
          <w:color w:val="2A2A2A"/>
          <w:sz w:val="22"/>
          <w:szCs w:val="22"/>
        </w:rPr>
        <w:t xml:space="preserve">At the same time, museums operate under tight budgetary and staffing constraints, making it essential that any new technology investment deliver measurable value across multiple dimensions simultaneously: preservation, security, operational efficiency, and visitor satisfaction. A converged, data-driven platform — rather than a set of disconnected point solutions — is therefore the direction the industry is moving toward.</w:t>
      </w:r>
    </w:p>
    <w:p>
      <w:pPr>
        <w:pStyle w:val="Heading1"/>
        <w:pBdr>
          <w:bottom w:val="single" w:color="C9A24B" w:sz="8" w:space="4"/>
        </w:pBdr>
        <w:spacing w:after="200" w:before="42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3.  Problem Statement</w:t>
      </w:r>
    </w:p>
    <w:p>
      <w:pPr>
        <w:spacing w:after="160" w:line="288"/>
        <w:jc w:val="both"/>
      </w:pPr>
      <w:r>
        <w:rPr>
          <w:rFonts w:ascii="Calibri" w:cs="Calibri" w:eastAsia="Calibri" w:hAnsi="Calibri"/>
          <w:color w:val="2A2A2A"/>
          <w:sz w:val="22"/>
          <w:szCs w:val="22"/>
        </w:rPr>
        <w:t xml:space="preserve">Museums face three interconnected challenges that conventional systems are poorly equipped to solve: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Preservation risk: </w:t>
      </w:r>
      <w:r>
        <w:rPr>
          <w:rFonts w:ascii="Calibri" w:cs="Calibri" w:eastAsia="Calibri" w:hAnsi="Calibri"/>
          <w:color w:val="2A2A2A"/>
          <w:sz w:val="22"/>
          <w:szCs w:val="22"/>
        </w:rPr>
        <w:t xml:space="preserve">Limited real-time visibility into the environmental conditions surrounding sensitive artifacts, which increases the risk of undetected degradation from temperature or humidity fluctuations.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Engagement gap: </w:t>
      </w:r>
      <w:r>
        <w:rPr>
          <w:rFonts w:ascii="Calibri" w:cs="Calibri" w:eastAsia="Calibri" w:hAnsi="Calibri"/>
          <w:color w:val="2A2A2A"/>
          <w:sz w:val="22"/>
          <w:szCs w:val="22"/>
        </w:rPr>
        <w:t xml:space="preserve">Static, one-size-fits-all visitor experiences that do not adapt to individual interests, resulting in reduced engagement, uneven visitor flow, and underused exhibition space.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Security exposure: </w:t>
      </w:r>
      <w:r>
        <w:rPr>
          <w:rFonts w:ascii="Calibri" w:cs="Calibri" w:eastAsia="Calibri" w:hAnsi="Calibri"/>
          <w:color w:val="2A2A2A"/>
          <w:sz w:val="22"/>
          <w:szCs w:val="22"/>
        </w:rPr>
        <w:t xml:space="preserve">Fragmented or manual security monitoring processes that slow the detection of unauthorized access, tampering, or theft attempts involving high-value collections.</w:t>
      </w:r>
    </w:p>
    <w:p>
      <w:pPr>
        <w:spacing w:after="160" w:line="288"/>
        <w:jc w:val="both"/>
      </w:pPr>
      <w:r>
        <w:rPr>
          <w:rFonts w:ascii="Calibri" w:cs="Calibri" w:eastAsia="Calibri" w:hAnsi="Calibri"/>
          <w:color w:val="2A2A2A"/>
          <w:sz w:val="22"/>
          <w:szCs w:val="22"/>
        </w:rPr>
        <w:t xml:space="preserve">A smart museum platform is needed that can monitor artifact temperature, humidity, and security using IoT sensors; deliver AI-powered personalized tour recommendations; integrate AR-based interactive exhibits; and analyze visitor behavior to optimize exhibition layouts — improving visitor satisfaction while safeguarding cultural heritage for future generations.</w:t>
      </w:r>
    </w:p>
    <w:p>
      <w:pPr>
        <w:pStyle w:val="Heading1"/>
        <w:pBdr>
          <w:bottom w:val="single" w:color="C9A24B" w:sz="8" w:space="4"/>
        </w:pBdr>
        <w:spacing w:after="200" w:before="42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4.  Objectives</w:t>
      </w:r>
    </w:p>
    <w:p>
      <w:pPr>
        <w:spacing w:after="160" w:line="288"/>
        <w:jc w:val="both"/>
      </w:pPr>
      <w:r>
        <w:rPr>
          <w:rFonts w:ascii="Calibri" w:cs="Calibri" w:eastAsia="Calibri" w:hAnsi="Calibri"/>
          <w:color w:val="2A2A2A"/>
          <w:sz w:val="22"/>
          <w:szCs w:val="22"/>
        </w:rPr>
        <w:t xml:space="preserve">The platform is guided by eight core objectives spanning preservation, engagement, and operational performance: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color w:val="2A2A2A"/>
          <w:sz w:val="22"/>
          <w:szCs w:val="22"/>
        </w:rPr>
        <w:t xml:space="preserve">Monitor artifact environmental conditions (temperature, humidity, light) in real time using IoT sensors.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color w:val="2A2A2A"/>
          <w:sz w:val="22"/>
          <w:szCs w:val="22"/>
        </w:rPr>
        <w:t xml:space="preserve">Track visitor movement and engagement patterns throughout the museum using RFID, beacons, and app telemetry.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color w:val="2A2A2A"/>
          <w:sz w:val="22"/>
          <w:szCs w:val="22"/>
        </w:rPr>
        <w:t xml:space="preserve">Provide AI-based personalized tour recommendations tailored to individual visitor interests and available time.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color w:val="2A2A2A"/>
          <w:sz w:val="22"/>
          <w:szCs w:val="22"/>
        </w:rPr>
        <w:t xml:space="preserve">Integrate Augmented Reality (AR) for interactive, immersive learning experiences at key exhibits.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color w:val="2A2A2A"/>
          <w:sz w:val="22"/>
          <w:szCs w:val="22"/>
        </w:rPr>
        <w:t xml:space="preserve">Enhance museum security monitoring through connected cameras, motion sensors, and automated alerting.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color w:val="2A2A2A"/>
          <w:sz w:val="22"/>
          <w:szCs w:val="22"/>
        </w:rPr>
        <w:t xml:space="preserve">Analyze visitor behavior and preferences to inform curatorial and operational decisions.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color w:val="2A2A2A"/>
          <w:sz w:val="22"/>
          <w:szCs w:val="22"/>
        </w:rPr>
        <w:t xml:space="preserve">Generate museum performance analytics covering attendance, dwell time, and exhibit popularity.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color w:val="2A2A2A"/>
          <w:sz w:val="22"/>
          <w:szCs w:val="22"/>
        </w:rPr>
        <w:t xml:space="preserve">Improve long-term cultural heritage preservation through proactive, data-driven conservation practices.</w:t>
      </w:r>
    </w:p>
    <w:p>
      <w:pPr>
        <w:pStyle w:val="Heading1"/>
        <w:pBdr>
          <w:bottom w:val="single" w:color="C9A24B" w:sz="8" w:space="4"/>
        </w:pBdr>
        <w:spacing w:after="200" w:before="42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5.  Proposed System Architecture</w:t>
      </w:r>
    </w:p>
    <w:p>
      <w:pPr>
        <w:spacing w:after="160" w:line="288"/>
        <w:jc w:val="both"/>
      </w:pPr>
      <w:r>
        <w:rPr>
          <w:rFonts w:ascii="Calibri" w:cs="Calibri" w:eastAsia="Calibri" w:hAnsi="Calibri"/>
          <w:color w:val="2A2A2A"/>
          <w:sz w:val="22"/>
          <w:szCs w:val="22"/>
        </w:rPr>
        <w:t xml:space="preserve">The platform follows a four-layer architecture that separates data acquisition, edge aggregation, cloud-based processing, and end-user applications. This layered design allows environmental sensors, RFID readers, security devices, and visitor-facing apps to feed into a shared AI and analytics core, ensuring that insights generated in one area — for example, visitor flow data — can inform decisions in another, such as exhibition layout planning.</w:t>
      </w:r>
    </w:p>
    <w:p>
      <w:pPr>
        <w:spacing w:after="60" w:before="200"/>
        <w:jc w:val="center"/>
      </w:pPr>
      <w:r>
        <w:drawing>
          <wp:inline distT="0" distB="0" distL="0" distR="0">
            <wp:extent cx="4953000" cy="3057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20" w:before="100"/>
        <w:jc w:val="center"/>
      </w:pPr>
      <w:r>
        <w:rPr>
          <w:rFonts w:ascii="Calibri" w:cs="Calibri" w:eastAsia="Calibri" w:hAnsi="Calibri"/>
          <w:i/>
          <w:iCs/>
          <w:color w:val="5A6B87"/>
          <w:sz w:val="19"/>
          <w:szCs w:val="19"/>
        </w:rPr>
        <w:t xml:space="preserve">Figure 1. High-level system architecture showing sensing, edge, processing, and application layers.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5.1  Sensing and Input Layer</w:t>
      </w:r>
    </w:p>
    <w:p>
      <w:pPr>
        <w:spacing w:after="160" w:line="288"/>
        <w:jc w:val="both"/>
      </w:pPr>
      <w:r>
        <w:rPr>
          <w:rFonts w:ascii="Calibri" w:cs="Calibri" w:eastAsia="Calibri" w:hAnsi="Calibri"/>
          <w:color w:val="2A2A2A"/>
          <w:sz w:val="22"/>
          <w:szCs w:val="22"/>
        </w:rPr>
        <w:t xml:space="preserve">IoT temperature and humidity sensors, RFID/BLE asset tags, security cameras, motion sensors, and visitor-facing mobile and AR devices continuously capture raw data across the museum floor.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5.2  Edge and Processing Layers</w:t>
      </w:r>
    </w:p>
    <w:p>
      <w:pPr>
        <w:spacing w:after="160" w:line="288"/>
        <w:jc w:val="both"/>
      </w:pPr>
      <w:r>
        <w:rPr>
          <w:rFonts w:ascii="Calibri" w:cs="Calibri" w:eastAsia="Calibri" w:hAnsi="Calibri"/>
          <w:color w:val="2A2A2A"/>
          <w:sz w:val="22"/>
          <w:szCs w:val="22"/>
        </w:rPr>
        <w:t xml:space="preserve">An edge gateway aggregates sensor data locally for low-latency alerting before forwarding it to the cloud platform, where a dedicated AI/ML engine performs recommendation generation, behavior analytics, and anomaly detection alongside secure, real-time data storage.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5.3  Application Layer</w:t>
      </w:r>
    </w:p>
    <w:p>
      <w:pPr>
        <w:spacing w:after="160" w:line="288"/>
        <w:jc w:val="both"/>
      </w:pPr>
      <w:r>
        <w:rPr>
          <w:rFonts w:ascii="Calibri" w:cs="Calibri" w:eastAsia="Calibri" w:hAnsi="Calibri"/>
          <w:color w:val="2A2A2A"/>
          <w:sz w:val="22"/>
          <w:szCs w:val="22"/>
        </w:rPr>
        <w:t xml:space="preserve">Processed insights are surfaced through three purpose-built interfaces: a curator and conservation dashboard for environmental and security alerts, a visitor mobile app for personalized tours and AR content, and a management analytics portal for museum-wide performance reporting.</w:t>
      </w:r>
    </w:p>
    <w:p>
      <w:pPr>
        <w:pStyle w:val="Heading1"/>
        <w:pBdr>
          <w:bottom w:val="single" w:color="C9A24B" w:sz="8" w:space="4"/>
        </w:pBdr>
        <w:spacing w:after="200" w:before="42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6.  Key Features and Functional Modules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6.1  IoT-Based Artifact Environmental Monitoring</w:t>
      </w:r>
    </w:p>
    <w:p>
      <w:pPr>
        <w:spacing w:after="160" w:line="288"/>
        <w:jc w:val="both"/>
      </w:pPr>
      <w:r>
        <w:rPr>
          <w:rFonts w:ascii="Calibri" w:cs="Calibri" w:eastAsia="Calibri" w:hAnsi="Calibri"/>
          <w:color w:val="2A2A2A"/>
          <w:sz w:val="22"/>
          <w:szCs w:val="22"/>
        </w:rPr>
        <w:t xml:space="preserve">Wireless IoT sensors placed within display cases and storage areas continuously track temperature, relative humidity, and light exposure for each artifact or gallery zone. Readings are compared against conservation-safe thresholds defined for each artifact type, and the system issues automated alerts to conservation staff the moment a reading drifts outside its safe range — enabling preventive action before physical damage occurs.</w:t>
      </w:r>
    </w:p>
    <w:p>
      <w:pPr>
        <w:spacing w:after="60" w:before="200"/>
        <w:jc w:val="center"/>
      </w:pPr>
      <w:r>
        <w:drawing>
          <wp:inline distT="0" distB="0" distL="0" distR="0">
            <wp:extent cx="4953000" cy="3038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20" w:before="100"/>
        <w:jc w:val="center"/>
      </w:pPr>
      <w:r>
        <w:rPr>
          <w:rFonts w:ascii="Calibri" w:cs="Calibri" w:eastAsia="Calibri" w:hAnsi="Calibri"/>
          <w:i/>
          <w:iCs/>
          <w:color w:val="5A6B87"/>
          <w:sz w:val="19"/>
          <w:szCs w:val="19"/>
        </w:rPr>
        <w:t xml:space="preserve">Figure 2. Example real-time artifact environmental monitoring dashboard.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6.2  AI-Powered Personalized Tour Recommendations</w:t>
      </w:r>
    </w:p>
    <w:p>
      <w:pPr>
        <w:spacing w:after="160" w:line="288"/>
        <w:jc w:val="both"/>
      </w:pPr>
      <w:r>
        <w:rPr>
          <w:rFonts w:ascii="Calibri" w:cs="Calibri" w:eastAsia="Calibri" w:hAnsi="Calibri"/>
          <w:color w:val="2A2A2A"/>
          <w:sz w:val="22"/>
          <w:szCs w:val="22"/>
        </w:rPr>
        <w:t xml:space="preserve">Using visitor-provided interests, time budget, and in-museum behavior signals, the AI recommendation engine dynamically builds and adjusts a suggested tour route. This reduces congestion at popular exhibits by intelligently sequencing suggested paths and increases the likelihood that visitors engage meaningfully with content aligned to their interests.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6.3  Augmented Reality (AR) Interactive Exhibits</w:t>
      </w:r>
    </w:p>
    <w:p>
      <w:pPr>
        <w:spacing w:after="160" w:line="288"/>
        <w:jc w:val="both"/>
      </w:pPr>
      <w:r>
        <w:rPr>
          <w:rFonts w:ascii="Calibri" w:cs="Calibri" w:eastAsia="Calibri" w:hAnsi="Calibri"/>
          <w:color w:val="2A2A2A"/>
          <w:sz w:val="22"/>
          <w:szCs w:val="22"/>
        </w:rPr>
        <w:t xml:space="preserve">AR overlays deliver contextual storytelling, 3D reconstructions, and interactive annotations layered directly onto physical exhibits when viewed through a mobile device or AR headset. This transforms passive viewing into an interactive learning experience, particularly valuable for fragile artifacts that cannot be physically handled.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6.4  Enhanced Security Monitoring</w:t>
      </w:r>
    </w:p>
    <w:p>
      <w:pPr>
        <w:spacing w:after="160" w:line="288"/>
        <w:jc w:val="both"/>
      </w:pPr>
      <w:r>
        <w:rPr>
          <w:rFonts w:ascii="Calibri" w:cs="Calibri" w:eastAsia="Calibri" w:hAnsi="Calibri"/>
          <w:color w:val="2A2A2A"/>
          <w:sz w:val="22"/>
          <w:szCs w:val="22"/>
        </w:rPr>
        <w:t xml:space="preserve">RFID tagging combined with camera-based motion analytics enables real-time detection of unauthorized artifact movement, tampering, or restricted-area access, with automated alerts routed to security personnel and full audit trails for compliance and incident review.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6.5  Visitor Behavior and Preference Analytics</w:t>
      </w:r>
    </w:p>
    <w:p>
      <w:pPr>
        <w:spacing w:after="160" w:line="288"/>
        <w:jc w:val="both"/>
      </w:pPr>
      <w:r>
        <w:rPr>
          <w:rFonts w:ascii="Calibri" w:cs="Calibri" w:eastAsia="Calibri" w:hAnsi="Calibri"/>
          <w:color w:val="2A2A2A"/>
          <w:sz w:val="22"/>
          <w:szCs w:val="22"/>
        </w:rPr>
        <w:t xml:space="preserve">Aggregated, privacy-respecting movement and interaction data reveals which exhibits generate the greatest engagement, where bottlenecks form, and how dwell time varies by zone — informing both real-time crowd management and longer-term exhibition redesign.</w:t>
      </w:r>
    </w:p>
    <w:p>
      <w:pPr>
        <w:spacing w:after="60" w:before="200"/>
        <w:jc w:val="center"/>
      </w:pPr>
      <w:r>
        <w:drawing>
          <wp:inline distT="0" distB="0" distL="0" distR="0">
            <wp:extent cx="49530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20" w:before="100"/>
        <w:jc w:val="center"/>
      </w:pPr>
      <w:r>
        <w:rPr>
          <w:rFonts w:ascii="Calibri" w:cs="Calibri" w:eastAsia="Calibri" w:hAnsi="Calibri"/>
          <w:i/>
          <w:iCs/>
          <w:color w:val="5A6B87"/>
          <w:sz w:val="19"/>
          <w:szCs w:val="19"/>
        </w:rPr>
        <w:t xml:space="preserve">Figure 3. Sample visitor behavior and engagement analytics dashboard.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6.6  Museum Performance Analytics</w:t>
      </w:r>
    </w:p>
    <w:p>
      <w:pPr>
        <w:spacing w:after="160" w:line="288"/>
        <w:jc w:val="both"/>
      </w:pPr>
      <w:r>
        <w:rPr>
          <w:rFonts w:ascii="Calibri" w:cs="Calibri" w:eastAsia="Calibri" w:hAnsi="Calibri"/>
          <w:color w:val="2A2A2A"/>
          <w:sz w:val="22"/>
          <w:szCs w:val="22"/>
        </w:rPr>
        <w:t xml:space="preserve">Consolidated reporting on attendance trends, exhibit popularity, tour completion rates, and visitor satisfaction gives museum management the data foundation needed for evidence-based planning and resource allocation.</w:t>
      </w:r>
    </w:p>
    <w:p>
      <w:pPr>
        <w:pStyle w:val="Heading1"/>
        <w:pBdr>
          <w:bottom w:val="single" w:color="C9A24B" w:sz="8" w:space="4"/>
        </w:pBdr>
        <w:spacing w:after="200" w:before="42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7.  Technology Stack Overview</w:t>
      </w:r>
    </w:p>
    <w:p>
      <w:pPr>
        <w:spacing w:after="160" w:line="288"/>
        <w:jc w:val="both"/>
      </w:pPr>
      <w:r>
        <w:rPr>
          <w:rFonts w:ascii="Calibri" w:cs="Calibri" w:eastAsia="Calibri" w:hAnsi="Calibri"/>
          <w:color w:val="2A2A2A"/>
          <w:sz w:val="22"/>
          <w:szCs w:val="22"/>
        </w:rPr>
        <w:t xml:space="preserve">The following table summarizes the primary technology layers underpinning the platform and their role within the overall system.</w:t>
      </w:r>
    </w:p>
    <w:tbl>
      <w:tblPr>
        <w:tblW w:type="dxa" w:w="9400"/>
        <w:tblBorders>
          <w:top w:val="single" w:color="D8D4C8" w:sz="4"/>
          <w:left w:val="single" w:color="D8D4C8" w:sz="4"/>
          <w:bottom w:val="single" w:color="D8D4C8" w:sz="4"/>
          <w:right w:val="single" w:color="D8D4C8" w:sz="4"/>
          <w:insideH w:val="single" w:color="D8D4C8" w:sz="4"/>
          <w:insideV w:val="single" w:color="D8D4C8" w:sz="4"/>
        </w:tblBorders>
      </w:tblPr>
      <w:tblGrid>
        <w:gridCol w:w="1900"/>
        <w:gridCol w:w="4600"/>
        <w:gridCol w:w="2900"/>
      </w:tblGrid>
      <w:tr>
        <w:trPr>
          <w:tblHeader/>
        </w:trPr>
        <w:tc>
          <w:tcPr>
            <w:tcW w:type="dxa" w:w="19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46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Representative Technologies</w:t>
            </w:r>
          </w:p>
        </w:tc>
        <w:tc>
          <w:tcPr>
            <w:tcW w:type="dxa" w:w="29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1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A2A2A"/>
                <w:sz w:val="20"/>
                <w:szCs w:val="20"/>
              </w:rPr>
              <w:t xml:space="preserve">Sensing</w:t>
            </w:r>
          </w:p>
        </w:tc>
        <w:tc>
          <w:tcPr>
            <w:tcW w:type="dxa" w:w="4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A2A2A"/>
                <w:sz w:val="20"/>
                <w:szCs w:val="20"/>
              </w:rPr>
              <w:t xml:space="preserve">IoT temperature/humidity sensors, RFID/BLE tags, CCTV &amp; motion sensors</w:t>
            </w:r>
          </w:p>
        </w:tc>
        <w:tc>
          <w:tcPr>
            <w:tcW w:type="dxa" w:w="2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A2A2A"/>
                <w:sz w:val="20"/>
                <w:szCs w:val="20"/>
              </w:rPr>
              <w:t xml:space="preserve">Capture environmental, location, and security data</w:t>
            </w:r>
          </w:p>
        </w:tc>
      </w:tr>
      <w:tr>
        <w:trPr>
          <w:tblHeader w:val="false"/>
        </w:trPr>
        <w:tc>
          <w:tcPr>
            <w:tcW w:type="dxa" w:w="1900"/>
            <w:shd w:fill="F4F2E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A2A2A"/>
                <w:sz w:val="20"/>
                <w:szCs w:val="20"/>
              </w:rPr>
              <w:t xml:space="preserve">Connectivity</w:t>
            </w:r>
          </w:p>
        </w:tc>
        <w:tc>
          <w:tcPr>
            <w:tcW w:type="dxa" w:w="4600"/>
            <w:shd w:fill="F4F2E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A2A2A"/>
                <w:sz w:val="20"/>
                <w:szCs w:val="20"/>
              </w:rPr>
              <w:t xml:space="preserve">Wi-Fi, BLE, LoRaWAN, Edge Gateway</w:t>
            </w:r>
          </w:p>
        </w:tc>
        <w:tc>
          <w:tcPr>
            <w:tcW w:type="dxa" w:w="2900"/>
            <w:shd w:fill="F4F2E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A2A2A"/>
                <w:sz w:val="20"/>
                <w:szCs w:val="20"/>
              </w:rPr>
              <w:t xml:space="preserve">Reliable, low-latency data transport from devices to cloud</w:t>
            </w:r>
          </w:p>
        </w:tc>
      </w:tr>
      <w:tr>
        <w:trPr>
          <w:tblHeader w:val="false"/>
        </w:trPr>
        <w:tc>
          <w:tcPr>
            <w:tcW w:type="dxa" w:w="1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A2A2A"/>
                <w:sz w:val="20"/>
                <w:szCs w:val="20"/>
              </w:rPr>
              <w:t xml:space="preserve">Cloud &amp; Data</w:t>
            </w:r>
          </w:p>
        </w:tc>
        <w:tc>
          <w:tcPr>
            <w:tcW w:type="dxa" w:w="4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A2A2A"/>
                <w:sz w:val="20"/>
                <w:szCs w:val="20"/>
              </w:rPr>
              <w:t xml:space="preserve">Cloud storage, real-time streaming pipeline, secure database</w:t>
            </w:r>
          </w:p>
        </w:tc>
        <w:tc>
          <w:tcPr>
            <w:tcW w:type="dxa" w:w="2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A2A2A"/>
                <w:sz w:val="20"/>
                <w:szCs w:val="20"/>
              </w:rPr>
              <w:t xml:space="preserve">Centralized, scalable storage and processing</w:t>
            </w:r>
          </w:p>
        </w:tc>
      </w:tr>
      <w:tr>
        <w:trPr>
          <w:tblHeader w:val="false"/>
        </w:trPr>
        <w:tc>
          <w:tcPr>
            <w:tcW w:type="dxa" w:w="1900"/>
            <w:shd w:fill="F4F2E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A2A2A"/>
                <w:sz w:val="20"/>
                <w:szCs w:val="20"/>
              </w:rPr>
              <w:t xml:space="preserve">AI / ML</w:t>
            </w:r>
          </w:p>
        </w:tc>
        <w:tc>
          <w:tcPr>
            <w:tcW w:type="dxa" w:w="4600"/>
            <w:shd w:fill="F4F2E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A2A2A"/>
                <w:sz w:val="20"/>
                <w:szCs w:val="20"/>
              </w:rPr>
              <w:t xml:space="preserve">Recommendation models, behavior analytics, anomaly detection</w:t>
            </w:r>
          </w:p>
        </w:tc>
        <w:tc>
          <w:tcPr>
            <w:tcW w:type="dxa" w:w="2900"/>
            <w:shd w:fill="F4F2E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A2A2A"/>
                <w:sz w:val="20"/>
                <w:szCs w:val="20"/>
              </w:rPr>
              <w:t xml:space="preserve">Personalization, insight generation, alerting</w:t>
            </w:r>
          </w:p>
        </w:tc>
      </w:tr>
      <w:tr>
        <w:trPr>
          <w:tblHeader w:val="false"/>
        </w:trPr>
        <w:tc>
          <w:tcPr>
            <w:tcW w:type="dxa" w:w="1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A2A2A"/>
                <w:sz w:val="20"/>
                <w:szCs w:val="20"/>
              </w:rPr>
              <w:t xml:space="preserve">Experience</w:t>
            </w:r>
          </w:p>
        </w:tc>
        <w:tc>
          <w:tcPr>
            <w:tcW w:type="dxa" w:w="4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A2A2A"/>
                <w:sz w:val="20"/>
                <w:szCs w:val="20"/>
              </w:rPr>
              <w:t xml:space="preserve">AR/AI mobile application, curator dashboard, analytics portal</w:t>
            </w:r>
          </w:p>
        </w:tc>
        <w:tc>
          <w:tcPr>
            <w:tcW w:type="dxa" w:w="2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A2A2A"/>
                <w:sz w:val="20"/>
                <w:szCs w:val="20"/>
              </w:rPr>
              <w:t xml:space="preserve">Visitor engagement and staff decision support</w:t>
            </w:r>
          </w:p>
        </w:tc>
      </w:tr>
    </w:tbl>
    <w:p>
      <w:pPr>
        <w:spacing w:before="260"/>
      </w:pPr>
    </w:p>
    <w:p>
      <w:pPr>
        <w:pStyle w:val="Heading1"/>
        <w:pBdr>
          <w:bottom w:val="single" w:color="C9A24B" w:sz="8" w:space="4"/>
        </w:pBdr>
        <w:spacing w:after="200" w:before="42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8.  Expected Outcomes</w:t>
      </w:r>
    </w:p>
    <w:p>
      <w:pPr>
        <w:spacing w:after="160" w:line="288"/>
        <w:jc w:val="both"/>
      </w:pPr>
      <w:r>
        <w:rPr>
          <w:rFonts w:ascii="Calibri" w:cs="Calibri" w:eastAsia="Calibri" w:hAnsi="Calibri"/>
          <w:color w:val="2A2A2A"/>
          <w:sz w:val="22"/>
          <w:szCs w:val="22"/>
        </w:rPr>
        <w:t xml:space="preserve">Successful implementation of the platform is expected to deliver measurable benefits across visitor experience, artifact preservation, and museum operations: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Calibri" w:cs="Calibri" w:eastAsia="Calibri" w:hAnsi="Calibri"/>
          <w:color w:val="2A2A2A"/>
          <w:sz w:val="22"/>
          <w:szCs w:val="22"/>
        </w:rPr>
        <w:t xml:space="preserve">Improved visitor experience through personalized, interactive engagement.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Calibri" w:cs="Calibri" w:eastAsia="Calibri" w:hAnsi="Calibri"/>
          <w:color w:val="2A2A2A"/>
          <w:sz w:val="22"/>
          <w:szCs w:val="22"/>
        </w:rPr>
        <w:t xml:space="preserve">Enhanced artifact preservation via continuous, real-time environmental monitoring.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Calibri" w:cs="Calibri" w:eastAsia="Calibri" w:hAnsi="Calibri"/>
          <w:color w:val="2A2A2A"/>
          <w:sz w:val="22"/>
          <w:szCs w:val="22"/>
        </w:rPr>
        <w:t xml:space="preserve">Increased museum engagement driven by AR-based interactive learning.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Calibri" w:cs="Calibri" w:eastAsia="Calibri" w:hAnsi="Calibri"/>
          <w:color w:val="2A2A2A"/>
          <w:sz w:val="22"/>
          <w:szCs w:val="22"/>
        </w:rPr>
        <w:t xml:space="preserve">Better exhibition planning informed by data-driven visitor behavior analytics.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Calibri" w:cs="Calibri" w:eastAsia="Calibri" w:hAnsi="Calibri"/>
          <w:color w:val="2A2A2A"/>
          <w:sz w:val="22"/>
          <w:szCs w:val="22"/>
        </w:rPr>
        <w:t xml:space="preserve">Improved security and monitoring through automated, real-time alerting.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Calibri" w:cs="Calibri" w:eastAsia="Calibri" w:hAnsi="Calibri"/>
          <w:color w:val="2A2A2A"/>
          <w:sz w:val="22"/>
          <w:szCs w:val="22"/>
        </w:rPr>
        <w:t xml:space="preserve">Data-driven museum management supported by consolidated performance analytics.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Calibri" w:cs="Calibri" w:eastAsia="Calibri" w:hAnsi="Calibri"/>
          <w:color w:val="2A2A2A"/>
          <w:sz w:val="22"/>
          <w:szCs w:val="22"/>
        </w:rPr>
        <w:t xml:space="preserve">Higher visitor satisfaction resulting from more relevant, engaging visits.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Calibri" w:cs="Calibri" w:eastAsia="Calibri" w:hAnsi="Calibri"/>
          <w:color w:val="2A2A2A"/>
          <w:sz w:val="22"/>
          <w:szCs w:val="22"/>
        </w:rPr>
        <w:t xml:space="preserve">Sustainable cultural heritage conservation through proactive, preventive care.</w:t>
      </w:r>
    </w:p>
    <w:p>
      <w:pPr>
        <w:pStyle w:val="Heading1"/>
        <w:pBdr>
          <w:bottom w:val="single" w:color="C9A24B" w:sz="8" w:space="4"/>
        </w:pBdr>
        <w:spacing w:after="200" w:before="42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9.  Conclusion</w:t>
      </w:r>
    </w:p>
    <w:p>
      <w:pPr>
        <w:spacing w:after="160" w:line="288"/>
        <w:jc w:val="both"/>
      </w:pPr>
      <w:r>
        <w:rPr>
          <w:rFonts w:ascii="Calibri" w:cs="Calibri" w:eastAsia="Calibri" w:hAnsi="Calibri"/>
          <w:color w:val="2A2A2A"/>
          <w:sz w:val="22"/>
          <w:szCs w:val="22"/>
        </w:rPr>
        <w:t xml:space="preserve">The Smart Museum Visitor Experience and Artifact Monitoring Platform offers a practical, integrated response to the dual challenge facing modern museums: protecting irreplaceable cultural heritage while delivering the engaging, personalized experiences today's visitors expect. By combining IoT-based environmental monitoring, RFID and camera-based security, AI-driven personalization, and AR-based interpretation within a single cloud-connected architecture, the platform equips museums to make faster, better-informed decisions across conservation, security, and visitor engagement.</w:t>
      </w:r>
    </w:p>
    <w:p>
      <w:pPr>
        <w:spacing w:after="160" w:line="288"/>
        <w:jc w:val="both"/>
      </w:pPr>
      <w:r>
        <w:rPr>
          <w:rFonts w:ascii="Calibri" w:cs="Calibri" w:eastAsia="Calibri" w:hAnsi="Calibri"/>
          <w:color w:val="2A2A2A"/>
          <w:sz w:val="22"/>
          <w:szCs w:val="22"/>
        </w:rPr>
        <w:t xml:space="preserve">Phased adoption — beginning with environmental monitoring and security modules before layering in AI personalization and AR content — offers a pragmatic path to realizing these benefits while managing implementation risk and cost.</w:t>
      </w:r>
    </w:p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A6B87"/>
        <w:sz w:val="16"/>
        <w:szCs w:val="16"/>
      </w:rPr>
      <w:t xml:space="preserve">Page </w:t>
    </w:r>
    <w:r>
      <w:rPr>
        <w:rFonts w:ascii="Calibri" w:cs="Calibri" w:eastAsia="Calibri" w:hAnsi="Calibri"/>
        <w:color w:val="5A6B8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A6B87"/>
        <w:sz w:val="16"/>
        <w:szCs w:val="16"/>
      </w:rPr>
      <w:t xml:space="preserve"> of </w:t>
    </w:r>
    <w:r>
      <w:rPr>
        <w:rFonts w:ascii="Calibri" w:cs="Calibri" w:eastAsia="Calibri" w:hAnsi="Calibri"/>
        <w:color w:val="5A6B8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4C8" w:sz="4" w:space="4"/>
      </w:pBdr>
      <w:jc w:val="right"/>
    </w:pPr>
    <w:r>
      <w:rPr>
        <w:rFonts w:ascii="Calibri" w:cs="Calibri" w:eastAsia="Calibri" w:hAnsi="Calibri"/>
        <w:color w:val="5A6B87"/>
        <w:sz w:val="16"/>
        <w:szCs w:val="16"/>
      </w:rPr>
      <w:t xml:space="preserve">Smart Museum Platform  |  Technical &amp; Strategic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A2A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ddd02053b4894fbf9ce55f872c530cbd17dd42a.png"/><Relationship Id="rId10" Type="http://schemas.openxmlformats.org/officeDocument/2006/relationships/image" Target="media/c982806e9436e1016c6aff8b06ae932a94206fde.png"/><Relationship Id="rId11" Type="http://schemas.openxmlformats.org/officeDocument/2006/relationships/image" Target="media/ce20162bb8e437f7391ceb5380d30ddaa7648cb7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2026-07-22T03:01:38.475Z</dcterms:created>
  <dcterms:modified xsi:type="dcterms:W3CDTF">2026-07-22T03:01:38.475Z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