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Pharma Pricing Portfolio Project</w:t>
      </w:r>
    </w:p>
    <w:p>
      <w:pPr>
        <w:spacing w:after="40" w:before="0"/>
        <w:jc w:val="center"/>
      </w:pPr>
      <w:r>
        <w:rPr>
          <w:rFonts w:ascii="Arial" w:cs="Arial" w:eastAsia="Arial" w:hAnsi="Arial"/>
          <w:color w:val="666666"/>
          <w:sz w:val="24"/>
          <w:szCs w:val="24"/>
        </w:rPr>
        <w:t xml:space="preserve">Complete Session Brief for Cowork</w:t>
      </w:r>
    </w:p>
    <w:p>
      <w:pPr>
        <w:spacing w:after="240" w:before="0"/>
        <w:jc w:val="center"/>
      </w:pPr>
      <w:r>
        <w:rPr>
          <w:rFonts w:ascii="Arial" w:cs="Arial" w:eastAsia="Arial" w:hAnsi="Arial"/>
          <w:color w:val="888888"/>
          <w:sz w:val="20"/>
          <w:szCs w:val="20"/>
        </w:rPr>
        <w:t xml:space="preserve">Thrivikram Kotharu  |  March 2026</w:t>
      </w:r>
    </w:p>
    <w:p>
      <w:pPr>
        <w:pBdr>
          <w:bottom w:val="single" w:color="CCCCCC" w:sz="4" w:space="1"/>
        </w:pBdr>
        <w:spacing w:after="120" w:before="120"/>
      </w:pPr>
    </w:p>
    <w:p>
      <w:r>
        <w:t xml:space="preserve"/>
      </w:r>
    </w:p>
    <w:p>
      <w:pPr>
        <w:pStyle w:val="Heading1"/>
        <w:spacing w:after="160" w:before="320"/>
      </w:pPr>
      <w:r>
        <w:rPr>
          <w:rFonts w:ascii="Arial" w:cs="Arial" w:eastAsia="Arial" w:hAnsi="Arial"/>
          <w:b/>
          <w:bCs/>
          <w:color w:val="1F3864"/>
          <w:sz w:val="32"/>
          <w:szCs w:val="32"/>
        </w:rPr>
        <w:t xml:space="preserve">1. Project Overview</w:t>
      </w:r>
    </w:p>
    <w:p>
      <w:pPr>
        <w:spacing w:after="60" w:before="60"/>
      </w:pPr>
      <w:r>
        <w:rPr>
          <w:rFonts w:ascii="Arial" w:cs="Arial" w:eastAsia="Arial" w:hAnsi="Arial"/>
          <w:sz w:val="20"/>
          <w:szCs w:val="20"/>
        </w:rPr>
        <w:t xml:space="preserve">You are building TWO portfolio projects that feed into each other. The ETL pipeline is the data foundation, and the analytics/dashboard project is the output layer built on top of it.</w:t>
      </w:r>
    </w:p>
    <w:p>
      <w:r>
        <w:t xml:space="preserve"/>
      </w:r>
    </w:p>
    <w:p>
      <w:pPr>
        <w:pStyle w:val="Heading2"/>
        <w:spacing w:after="120" w:before="240"/>
      </w:pPr>
      <w:r>
        <w:rPr>
          <w:rFonts w:ascii="Arial" w:cs="Arial" w:eastAsia="Arial" w:hAnsi="Arial"/>
          <w:b/>
          <w:bCs/>
          <w:color w:val="2E5FA3"/>
          <w:sz w:val="26"/>
          <w:szCs w:val="26"/>
        </w:rPr>
        <w:t xml:space="preserve">Project 1 — Pharmaceutical Pricing Portfolio Analysis &amp; Market Intelligence</w:t>
      </w:r>
    </w:p>
    <w:p>
      <w:pPr>
        <w:spacing w:after="60" w:before="60"/>
      </w:pPr>
      <w:r>
        <w:rPr>
          <w:rFonts w:ascii="Arial" w:cs="Arial" w:eastAsia="Arial" w:hAnsi="Arial"/>
          <w:sz w:val="20"/>
          <w:szCs w:val="20"/>
        </w:rPr>
        <w:t xml:space="preserve">Tools: Power BI, Tableau, Excel</w:t>
      </w:r>
    </w:p>
    <w:p>
      <w:pPr>
        <w:pStyle w:val="ListParagraph"/>
        <w:numPr>
          <w:ilvl w:val="0"/>
          <w:numId w:val="2"/>
        </w:numPr>
        <w:spacing w:after="40" w:before="40"/>
      </w:pPr>
      <w:r>
        <w:rPr>
          <w:rFonts w:ascii="Arial" w:cs="Arial" w:eastAsia="Arial" w:hAnsi="Arial"/>
          <w:b w:val="false"/>
          <w:bCs w:val="false"/>
          <w:sz w:val="20"/>
          <w:szCs w:val="20"/>
        </w:rPr>
        <w:t xml:space="preserve">Compiled and analyzed large pharmaceutical pricing datasets identifying pricing trends and competitive positioning</w:t>
      </w:r>
    </w:p>
    <w:p>
      <w:pPr>
        <w:pStyle w:val="ListParagraph"/>
        <w:numPr>
          <w:ilvl w:val="0"/>
          <w:numId w:val="2"/>
        </w:numPr>
        <w:spacing w:after="40" w:before="40"/>
      </w:pPr>
      <w:r>
        <w:rPr>
          <w:rFonts w:ascii="Arial" w:cs="Arial" w:eastAsia="Arial" w:hAnsi="Arial"/>
          <w:b w:val="false"/>
          <w:bCs w:val="false"/>
          <w:sz w:val="20"/>
          <w:szCs w:val="20"/>
        </w:rPr>
        <w:t xml:space="preserve">Built Power BI and Tableau dashboards visualizing portfolio pricing strategies and market dynamics</w:t>
      </w:r>
    </w:p>
    <w:p>
      <w:pPr>
        <w:pStyle w:val="ListParagraph"/>
        <w:numPr>
          <w:ilvl w:val="0"/>
          <w:numId w:val="2"/>
        </w:numPr>
        <w:spacing w:after="40" w:before="40"/>
      </w:pPr>
      <w:r>
        <w:rPr>
          <w:rFonts w:ascii="Arial" w:cs="Arial" w:eastAsia="Arial" w:hAnsi="Arial"/>
          <w:b w:val="false"/>
          <w:bCs w:val="false"/>
          <w:sz w:val="20"/>
          <w:szCs w:val="20"/>
        </w:rPr>
        <w:t xml:space="preserve">Conducted research on launches and approvals; delivered insights supporting portfolio optimization</w:t>
      </w:r>
    </w:p>
    <w:p>
      <w:r>
        <w:t xml:space="preserve"/>
      </w:r>
    </w:p>
    <w:p>
      <w:pPr>
        <w:pStyle w:val="Heading2"/>
        <w:spacing w:after="120" w:before="240"/>
      </w:pPr>
      <w:r>
        <w:rPr>
          <w:rFonts w:ascii="Arial" w:cs="Arial" w:eastAsia="Arial" w:hAnsi="Arial"/>
          <w:b/>
          <w:bCs/>
          <w:color w:val="2E5FA3"/>
          <w:sz w:val="26"/>
          <w:szCs w:val="26"/>
        </w:rPr>
        <w:t xml:space="preserve">Project 2 — Data Management &amp; Pricing Insights ETL Pipeline</w:t>
      </w:r>
    </w:p>
    <w:p>
      <w:pPr>
        <w:spacing w:after="60" w:before="60"/>
      </w:pPr>
      <w:r>
        <w:rPr>
          <w:rFonts w:ascii="Arial" w:cs="Arial" w:eastAsia="Arial" w:hAnsi="Arial"/>
          <w:sz w:val="20"/>
          <w:szCs w:val="20"/>
        </w:rPr>
        <w:t xml:space="preserve">Tools: Alteryx Designer Cloud, Power BI, Python (optional)</w:t>
      </w:r>
    </w:p>
    <w:p>
      <w:pPr>
        <w:pStyle w:val="ListParagraph"/>
        <w:numPr>
          <w:ilvl w:val="0"/>
          <w:numId w:val="2"/>
        </w:numPr>
        <w:spacing w:after="40" w:before="40"/>
      </w:pPr>
      <w:r>
        <w:rPr>
          <w:rFonts w:ascii="Arial" w:cs="Arial" w:eastAsia="Arial" w:hAnsi="Arial"/>
          <w:b w:val="false"/>
          <w:bCs w:val="false"/>
          <w:sz w:val="20"/>
          <w:szCs w:val="20"/>
        </w:rPr>
        <w:t xml:space="preserve">Designed ETL pipeline integrating pricing data from disparate sources ensuring quality and consistency</w:t>
      </w:r>
    </w:p>
    <w:p>
      <w:pPr>
        <w:pStyle w:val="ListParagraph"/>
        <w:numPr>
          <w:ilvl w:val="0"/>
          <w:numId w:val="2"/>
        </w:numPr>
        <w:spacing w:after="40" w:before="40"/>
      </w:pPr>
      <w:r>
        <w:rPr>
          <w:rFonts w:ascii="Arial" w:cs="Arial" w:eastAsia="Arial" w:hAnsi="Arial"/>
          <w:b w:val="false"/>
          <w:bCs w:val="false"/>
          <w:sz w:val="20"/>
          <w:szCs w:val="20"/>
        </w:rPr>
        <w:t xml:space="preserve">Automated transformation workflows reducing manual effort by 40%</w:t>
      </w:r>
    </w:p>
    <w:p>
      <w:pPr>
        <w:pStyle w:val="ListParagraph"/>
        <w:numPr>
          <w:ilvl w:val="0"/>
          <w:numId w:val="2"/>
        </w:numPr>
        <w:spacing w:after="40" w:before="40"/>
      </w:pPr>
      <w:r>
        <w:rPr>
          <w:rFonts w:ascii="Arial" w:cs="Arial" w:eastAsia="Arial" w:hAnsi="Arial"/>
          <w:b w:val="false"/>
          <w:bCs w:val="false"/>
          <w:sz w:val="20"/>
          <w:szCs w:val="20"/>
        </w:rPr>
        <w:t xml:space="preserve">Created dashboards tracking pricing metrics and portfolio performance for strategic decisions</w:t>
      </w:r>
    </w:p>
    <w:p>
      <w:r>
        <w:t xml:space="preserve"/>
      </w:r>
    </w:p>
    <w:p>
      <w:pPr>
        <w:pStyle w:val="Heading2"/>
        <w:spacing w:after="120" w:before="240"/>
      </w:pPr>
      <w:r>
        <w:rPr>
          <w:rFonts w:ascii="Arial" w:cs="Arial" w:eastAsia="Arial" w:hAnsi="Arial"/>
          <w:b/>
          <w:bCs/>
          <w:color w:val="2E5FA3"/>
          <w:sz w:val="26"/>
          <w:szCs w:val="26"/>
        </w:rPr>
        <w:t xml:space="preserve">How They Connect</w:t>
      </w:r>
    </w:p>
    <w:p>
      <w:pPr>
        <w:spacing w:after="60" w:before="60"/>
      </w:pPr>
      <w:r>
        <w:rPr>
          <w:rFonts w:ascii="Arial" w:cs="Arial" w:eastAsia="Arial" w:hAnsi="Arial"/>
          <w:sz w:val="20"/>
          <w:szCs w:val="20"/>
        </w:rPr>
        <w:t xml:space="preserve">Project 2 (ETL) builds the clean master dataset. Project 1 (Analytics) connects Power BI and Tableau to that master dataset for dashboards. Build them in order: ETL first, analytics second.</w:t>
      </w:r>
    </w:p>
    <w:p>
      <w:r>
        <w:t xml:space="preserve"/>
      </w:r>
    </w:p>
    <w:p>
      <w:pPr>
        <w:pBdr>
          <w:bottom w:val="single" w:color="CCCCCC" w:sz="4" w:space="1"/>
        </w:pBdr>
        <w:spacing w:after="120" w:before="120"/>
      </w:pPr>
    </w:p>
    <w:p>
      <w:r>
        <w:t xml:space="preserve"/>
      </w:r>
    </w:p>
    <w:p>
      <w:pPr>
        <w:pStyle w:val="Heading1"/>
        <w:spacing w:after="160" w:before="320"/>
      </w:pPr>
      <w:r>
        <w:rPr>
          <w:rFonts w:ascii="Arial" w:cs="Arial" w:eastAsia="Arial" w:hAnsi="Arial"/>
          <w:b/>
          <w:bCs/>
          <w:color w:val="1F3864"/>
          <w:sz w:val="32"/>
          <w:szCs w:val="32"/>
        </w:rPr>
        <w:t xml:space="preserve">2. Data Sources</w:t>
      </w:r>
    </w:p>
    <w:p>
      <w:pPr>
        <w:spacing w:after="60" w:before="60"/>
      </w:pPr>
      <w:r>
        <w:rPr>
          <w:rFonts w:ascii="Arial" w:cs="Arial" w:eastAsia="Arial" w:hAnsi="Arial"/>
          <w:sz w:val="20"/>
          <w:szCs w:val="20"/>
        </w:rPr>
        <w:t xml:space="preserve">Four public data sources. All free. All downloadable manually from their websites.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contains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Download from</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Format</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CMS ASP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Medicare drug prices (Average Selling Price) quarterly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cms.gov/medicare/payment/part-b-drugs/asp-pricing-files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ZIP &gt; CSV, quarterly</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Medicaid NADAC</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Retail pharmacy acquisition cost, brand and generic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data.medicaid.gov — search NADAC</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monthly</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FDA CDER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new drug approvals 1985-2024, plus Orange Book patent data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fda.gov — CDER NME approvals + Orange Book data files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Single CSV</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FRED PPI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Producer Price Index for pharmaceuticals — used for inflation adjustment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fred.stlouisfed.org/series/PCU4461104461101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download on page</w:t>
            </w:r>
          </w:p>
        </w:tc>
      </w:tr>
    </w:tbl>
    <w:p>
      <w:r>
        <w:t xml:space="preserve"/>
      </w:r>
    </w:p>
    <w:p>
      <w:pPr>
        <w:pStyle w:val="Heading2"/>
        <w:spacing w:after="120" w:before="240"/>
      </w:pPr>
      <w:r>
        <w:rPr>
          <w:rFonts w:ascii="Arial" w:cs="Arial" w:eastAsia="Arial" w:hAnsi="Arial"/>
          <w:b/>
          <w:bCs/>
          <w:color w:val="2E5FA3"/>
          <w:sz w:val="26"/>
          <w:szCs w:val="26"/>
        </w:rPr>
        <w:t xml:space="preserve">What to Download from CMS ASP</w:t>
      </w:r>
    </w:p>
    <w:p>
      <w:pPr>
        <w:spacing w:after="60" w:before="60"/>
      </w:pPr>
      <w:r>
        <w:rPr>
          <w:rFonts w:ascii="Arial" w:cs="Arial" w:eastAsia="Arial" w:hAnsi="Arial"/>
          <w:sz w:val="20"/>
          <w:szCs w:val="20"/>
        </w:rPr>
        <w:t xml:space="preserve">For each quarter, there are 3 file types. Only download 2 of them:</w:t>
      </w:r>
    </w:p>
    <w:p>
      <w:pPr>
        <w:pStyle w:val="ListParagraph"/>
        <w:numPr>
          <w:ilvl w:val="0"/>
          <w:numId w:val="2"/>
        </w:numPr>
        <w:spacing w:after="40" w:before="40"/>
      </w:pPr>
      <w:r>
        <w:rPr>
          <w:rFonts w:ascii="Arial" w:cs="Arial" w:eastAsia="Arial" w:hAnsi="Arial"/>
          <w:b w:val="false"/>
          <w:bCs w:val="false"/>
          <w:sz w:val="20"/>
          <w:szCs w:val="20"/>
        </w:rPr>
        <w:t xml:space="preserve">ASP Pricing File (ZIP) — YES, download this. Main price data.</w:t>
      </w:r>
    </w:p>
    <w:p>
      <w:pPr>
        <w:pStyle w:val="ListParagraph"/>
        <w:numPr>
          <w:ilvl w:val="0"/>
          <w:numId w:val="2"/>
        </w:numPr>
        <w:spacing w:after="40" w:before="40"/>
      </w:pPr>
      <w:r>
        <w:rPr>
          <w:rFonts w:ascii="Arial" w:cs="Arial" w:eastAsia="Arial" w:hAnsi="Arial"/>
          <w:b w:val="false"/>
          <w:bCs w:val="false"/>
          <w:sz w:val="20"/>
          <w:szCs w:val="20"/>
        </w:rPr>
        <w:t xml:space="preserve">ASP NDC-HCPCS Crosswalk (ZIP) — YES, download this. Maps drug codes.</w:t>
      </w:r>
    </w:p>
    <w:p>
      <w:pPr>
        <w:pStyle w:val="ListParagraph"/>
        <w:numPr>
          <w:ilvl w:val="0"/>
          <w:numId w:val="2"/>
        </w:numPr>
        <w:spacing w:after="40" w:before="40"/>
      </w:pPr>
      <w:r>
        <w:rPr>
          <w:rFonts w:ascii="Arial" w:cs="Arial" w:eastAsia="Arial" w:hAnsi="Arial"/>
          <w:b w:val="false"/>
          <w:bCs w:val="false"/>
          <w:sz w:val="20"/>
          <w:szCs w:val="20"/>
        </w:rPr>
        <w:t xml:space="preserve">NOC Pricing File (ZIP) — SKIP. Not useful for trend analysis.</w:t>
      </w:r>
    </w:p>
    <w:p>
      <w:r>
        <w:t xml:space="preserve"/>
      </w:r>
    </w:p>
    <w:p>
      <w:pPr>
        <w:pStyle w:val="Heading2"/>
        <w:spacing w:after="120" w:before="240"/>
      </w:pPr>
      <w:r>
        <w:rPr>
          <w:rFonts w:ascii="Arial" w:cs="Arial" w:eastAsia="Arial" w:hAnsi="Arial"/>
          <w:b/>
          <w:bCs/>
          <w:color w:val="2E5FA3"/>
          <w:sz w:val="26"/>
          <w:szCs w:val="26"/>
        </w:rPr>
        <w:t xml:space="preserve">Which Years to Download</w:t>
      </w:r>
    </w:p>
    <w:p>
      <w:pPr>
        <w:spacing w:after="60" w:before="60"/>
      </w:pPr>
      <w:r>
        <w:rPr>
          <w:rFonts w:ascii="Arial" w:cs="Arial" w:eastAsia="Arial" w:hAnsi="Arial"/>
          <w:sz w:val="20"/>
          <w:szCs w:val="20"/>
        </w:rPr>
        <w:t xml:space="preserve">You only need 2023 and 2024 — that gives you full YoY comparisons without unnecessary file bloat.</w:t>
      </w:r>
    </w:p>
    <w:p>
      <w:pPr>
        <w:pStyle w:val="ListParagraph"/>
        <w:numPr>
          <w:ilvl w:val="0"/>
          <w:numId w:val="2"/>
        </w:numPr>
        <w:spacing w:after="40" w:before="40"/>
      </w:pPr>
      <w:r>
        <w:rPr>
          <w:rFonts w:ascii="Arial" w:cs="Arial" w:eastAsia="Arial" w:hAnsi="Arial"/>
          <w:b w:val="false"/>
          <w:bCs w:val="false"/>
          <w:sz w:val="20"/>
          <w:szCs w:val="20"/>
        </w:rPr>
        <w:t xml:space="preserve">2023: Q1, Q2, Q3, Q4 — 4 ASP Pricing + 4 Crosswalk = 8 files</w:t>
      </w:r>
    </w:p>
    <w:p>
      <w:pPr>
        <w:pStyle w:val="ListParagraph"/>
        <w:numPr>
          <w:ilvl w:val="0"/>
          <w:numId w:val="2"/>
        </w:numPr>
        <w:spacing w:after="40" w:before="40"/>
      </w:pPr>
      <w:r>
        <w:rPr>
          <w:rFonts w:ascii="Arial" w:cs="Arial" w:eastAsia="Arial" w:hAnsi="Arial"/>
          <w:b w:val="false"/>
          <w:bCs w:val="false"/>
          <w:sz w:val="20"/>
          <w:szCs w:val="20"/>
        </w:rPr>
        <w:t xml:space="preserve">2024: Q1, Q2, Q3, Q4 — 4 ASP Pricing + 4 Crosswalk = 8 files</w:t>
      </w:r>
    </w:p>
    <w:p>
      <w:pPr>
        <w:pStyle w:val="ListParagraph"/>
        <w:numPr>
          <w:ilvl w:val="0"/>
          <w:numId w:val="2"/>
        </w:numPr>
        <w:spacing w:after="40" w:before="40"/>
      </w:pPr>
      <w:r>
        <w:rPr>
          <w:rFonts w:ascii="Arial" w:cs="Arial" w:eastAsia="Arial" w:hAnsi="Arial"/>
          <w:b w:val="false"/>
          <w:bCs w:val="false"/>
          <w:sz w:val="20"/>
          <w:szCs w:val="20"/>
        </w:rPr>
        <w:t xml:space="preserve">Total: 16 ZIP files from CMS</w:t>
      </w:r>
    </w:p>
    <w:p>
      <w:pPr>
        <w:spacing w:after="60" w:before="60"/>
      </w:pPr>
      <w:r>
        <w:rPr>
          <w:rFonts w:ascii="Arial" w:cs="Arial" w:eastAsia="Arial" w:hAnsi="Arial"/>
          <w:sz w:val="20"/>
          <w:szCs w:val="20"/>
        </w:rPr>
        <w:t xml:space="preserve">Rename files clearly before uploading: asp_pricing_2023_Q1.zip, asp_crosswalk_2023_Q1.zip, etc.</w:t>
      </w:r>
    </w:p>
    <w:p>
      <w:r>
        <w:t xml:space="preserve"/>
      </w:r>
    </w:p>
    <w:p>
      <w:pPr>
        <w:pBdr>
          <w:bottom w:val="single" w:color="CCCCCC" w:sz="4" w:space="1"/>
        </w:pBdr>
        <w:spacing w:after="120" w:before="120"/>
      </w:pPr>
    </w:p>
    <w:p>
      <w:r>
        <w:t xml:space="preserve"/>
      </w:r>
    </w:p>
    <w:p>
      <w:pPr>
        <w:pStyle w:val="Heading1"/>
        <w:spacing w:after="160" w:before="320"/>
      </w:pPr>
      <w:r>
        <w:rPr>
          <w:rFonts w:ascii="Arial" w:cs="Arial" w:eastAsia="Arial" w:hAnsi="Arial"/>
          <w:b/>
          <w:bCs/>
          <w:color w:val="1F3864"/>
          <w:sz w:val="32"/>
          <w:szCs w:val="32"/>
        </w:rPr>
        <w:t xml:space="preserve">3. Key Pricing Terms Explained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00"/>
        <w:gridCol w:w="30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Full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Plain English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rPr>
          <w:tblHeader w:val="false"/>
        </w:trP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WAC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Wholesale Acquisition Cost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sticker price — manufacturer's official list price</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Baseline for all price comparisons. Nobody actually pays this.</w:t>
            </w:r>
          </w:p>
        </w:tc>
      </w:tr>
      <w:tr>
        <w:trPr>
          <w:tblHeader w:val="false"/>
        </w:trP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ASP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Average Selling Price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manufacturers actually collect after all discounts and rebates</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Most honest pricing signal. Reported to CMS quarterly. Always lower than WAC.</w:t>
            </w:r>
          </w:p>
        </w:tc>
      </w:tr>
      <w:tr>
        <w:trPr>
          <w:tblHeader w:val="false"/>
        </w:trP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NADAC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National Average Drug Acquisition Cost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retail pharmacies actually pay to stock drugs</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 for brand vs generic comparisons. Weekly survey.</w:t>
            </w:r>
          </w:p>
        </w:tc>
      </w:tr>
      <w:tr>
        <w:trPr>
          <w:tblHeader w:val="false"/>
        </w:trP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PPI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Producer Price Index</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Inflation index for pharmaceutical industry</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Used to adjust nominal prices for inflation (real vs nominal growth).</w:t>
            </w:r>
          </w:p>
        </w:tc>
      </w:tr>
      <w:tr>
        <w:trPr>
          <w:tblHeader w:val="false"/>
        </w:trP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YoY %</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Year-over-Year % Change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(Current price - Prior year price) / Prior year price x 100</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Core metric for pricing trend analysis.</w:t>
            </w:r>
          </w:p>
        </w:tc>
      </w:tr>
      <w:tr>
        <w:trPr>
          <w:tblHeader w:val="false"/>
        </w:trP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CV</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Coefficient of Variation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StdDev / Mean x 100 — measures price volatility</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CV = highly volatile drug. Used for volatility index.</w:t>
            </w:r>
          </w:p>
        </w:tc>
      </w:tr>
      <w:tr>
        <w:trPr>
          <w:tblHeader w:val="false"/>
        </w:trP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Gross-to-Net Gap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WAC minus ASP</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dollar gap between list price and actual selling price</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Shows how much manufacturers are discounting in rebates.</w:t>
            </w:r>
          </w:p>
        </w:tc>
      </w:tr>
      <w:tr>
        <w:trPr>
          <w:tblHeader w:val="false"/>
        </w:trP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NDA / BLA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Drug Application / Biologics License Application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FDA approval application types</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Used to join FDA data to Orange Book for patent info.</w:t>
            </w:r>
          </w:p>
        </w:tc>
      </w:tr>
    </w:tbl>
    <w:p>
      <w:r>
        <w:t xml:space="preserve"/>
      </w:r>
    </w:p>
    <w:p>
      <w:pPr>
        <w:pBdr>
          <w:bottom w:val="single" w:color="CCCCCC" w:sz="4" w:space="1"/>
        </w:pBdr>
        <w:spacing w:after="120" w:before="120"/>
      </w:pPr>
    </w:p>
    <w:p>
      <w:r>
        <w:t xml:space="preserve"/>
      </w:r>
    </w:p>
    <w:p>
      <w:pPr>
        <w:pStyle w:val="Heading1"/>
        <w:spacing w:after="160" w:before="320"/>
      </w:pPr>
      <w:r>
        <w:rPr>
          <w:rFonts w:ascii="Arial" w:cs="Arial" w:eastAsia="Arial" w:hAnsi="Arial"/>
          <w:b/>
          <w:bCs/>
          <w:color w:val="1F3864"/>
          <w:sz w:val="32"/>
          <w:szCs w:val="32"/>
        </w:rPr>
        <w:t xml:space="preserve">4. Analytics Blueprint (Project 1)</w:t>
      </w:r>
    </w:p>
    <w:p>
      <w:pPr>
        <w:spacing w:after="60" w:before="60"/>
      </w:pPr>
      <w:r>
        <w:rPr>
          <w:rFonts w:ascii="Arial" w:cs="Arial" w:eastAsia="Arial" w:hAnsi="Arial"/>
          <w:sz w:val="20"/>
          <w:szCs w:val="20"/>
        </w:rPr>
        <w:t xml:space="preserve">Six analytical modules that power the dashboards. All built on the master dataset output from the ETL pipeline.</w:t>
      </w:r>
    </w:p>
    <w:p>
      <w:r>
        <w:t xml:space="preserve"/>
      </w:r>
    </w:p>
    <w:p>
      <w:pPr>
        <w:pStyle w:val="Heading2"/>
        <w:spacing w:after="120" w:before="240"/>
      </w:pPr>
      <w:r>
        <w:rPr>
          <w:rFonts w:ascii="Arial" w:cs="Arial" w:eastAsia="Arial" w:hAnsi="Arial"/>
          <w:b/>
          <w:bCs/>
          <w:color w:val="2E5FA3"/>
          <w:sz w:val="26"/>
          <w:szCs w:val="26"/>
        </w:rPr>
        <w:t xml:space="preserve">4.1  Pricing Trend Analysis</w:t>
      </w:r>
    </w:p>
    <w:p>
      <w:pPr>
        <w:pStyle w:val="ListParagraph"/>
        <w:numPr>
          <w:ilvl w:val="0"/>
          <w:numId w:val="2"/>
        </w:numPr>
        <w:spacing w:after="40" w:before="40"/>
      </w:pPr>
      <w:r>
        <w:rPr>
          <w:rFonts w:ascii="Arial" w:cs="Arial" w:eastAsia="Arial" w:hAnsi="Arial"/>
          <w:b w:val="false"/>
          <w:bCs w:val="false"/>
          <w:sz w:val="20"/>
          <w:szCs w:val="20"/>
        </w:rPr>
        <w:t xml:space="preserve">WAC vs ASP vs NADAC over time — line chart showing how list price diverges from actual selling price</w:t>
      </w:r>
    </w:p>
    <w:p>
      <w:pPr>
        <w:pStyle w:val="ListParagraph"/>
        <w:numPr>
          <w:ilvl w:val="0"/>
          <w:numId w:val="2"/>
        </w:numPr>
        <w:spacing w:after="40" w:before="40"/>
      </w:pPr>
      <w:r>
        <w:rPr>
          <w:rFonts w:ascii="Arial" w:cs="Arial" w:eastAsia="Arial" w:hAnsi="Arial"/>
          <w:b w:val="false"/>
          <w:bCs w:val="false"/>
          <w:sz w:val="20"/>
          <w:szCs w:val="20"/>
        </w:rPr>
        <w:t xml:space="preserve">YoY price change % by drug, therapeutic area, and manufacturer</w:t>
      </w:r>
    </w:p>
    <w:p>
      <w:pPr>
        <w:pStyle w:val="ListParagraph"/>
        <w:numPr>
          <w:ilvl w:val="0"/>
          <w:numId w:val="2"/>
        </w:numPr>
        <w:spacing w:after="40" w:before="40"/>
      </w:pPr>
      <w:r>
        <w:rPr>
          <w:rFonts w:ascii="Arial" w:cs="Arial" w:eastAsia="Arial" w:hAnsi="Arial"/>
          <w:b w:val="false"/>
          <w:bCs w:val="false"/>
          <w:sz w:val="20"/>
          <w:szCs w:val="20"/>
        </w:rPr>
        <w:t xml:space="preserve">Inflation-adjusted price trends using FRED PPI data</w:t>
      </w:r>
    </w:p>
    <w:p>
      <w:pPr>
        <w:pStyle w:val="ListParagraph"/>
        <w:numPr>
          <w:ilvl w:val="0"/>
          <w:numId w:val="2"/>
        </w:numPr>
        <w:spacing w:after="40" w:before="40"/>
      </w:pPr>
      <w:r>
        <w:rPr>
          <w:rFonts w:ascii="Arial" w:cs="Arial" w:eastAsia="Arial" w:hAnsi="Arial"/>
          <w:b w:val="false"/>
          <w:bCs w:val="false"/>
          <w:sz w:val="20"/>
          <w:szCs w:val="20"/>
        </w:rPr>
        <w:t xml:space="preserve">Brand vs generic price erosion curves — how prices collapse after patent expiry</w:t>
      </w:r>
    </w:p>
    <w:p>
      <w:pPr>
        <w:pStyle w:val="ListParagraph"/>
        <w:numPr>
          <w:ilvl w:val="0"/>
          <w:numId w:val="2"/>
        </w:numPr>
        <w:spacing w:after="40" w:before="40"/>
      </w:pPr>
      <w:r>
        <w:rPr>
          <w:rFonts w:ascii="Arial" w:cs="Arial" w:eastAsia="Arial" w:hAnsi="Arial"/>
          <w:b w:val="false"/>
          <w:bCs w:val="false"/>
          <w:sz w:val="20"/>
          <w:szCs w:val="20"/>
        </w:rPr>
        <w:t xml:space="preserve">Price volatility index — coefficient of variation per drug across quarters</w:t>
      </w:r>
    </w:p>
    <w:p>
      <w:r>
        <w:t xml:space="preserve"/>
      </w:r>
    </w:p>
    <w:p>
      <w:pPr>
        <w:pStyle w:val="Heading2"/>
        <w:spacing w:after="120" w:before="240"/>
      </w:pPr>
      <w:r>
        <w:rPr>
          <w:rFonts w:ascii="Arial" w:cs="Arial" w:eastAsia="Arial" w:hAnsi="Arial"/>
          <w:b/>
          <w:bCs/>
          <w:color w:val="2E5FA3"/>
          <w:sz w:val="26"/>
          <w:szCs w:val="26"/>
        </w:rPr>
        <w:t xml:space="preserve">4.2  Competitive Positioning Analysis</w:t>
      </w:r>
    </w:p>
    <w:p>
      <w:pPr>
        <w:pStyle w:val="ListParagraph"/>
        <w:numPr>
          <w:ilvl w:val="0"/>
          <w:numId w:val="2"/>
        </w:numPr>
        <w:spacing w:after="40" w:before="40"/>
      </w:pPr>
      <w:r>
        <w:rPr>
          <w:rFonts w:ascii="Arial" w:cs="Arial" w:eastAsia="Arial" w:hAnsi="Arial"/>
          <w:b w:val="false"/>
          <w:bCs w:val="false"/>
          <w:sz w:val="20"/>
          <w:szCs w:val="20"/>
        </w:rPr>
        <w:t xml:space="preserve">Market share by manufacturer within each therapeutic area</w:t>
      </w:r>
    </w:p>
    <w:p>
      <w:pPr>
        <w:pStyle w:val="ListParagraph"/>
        <w:numPr>
          <w:ilvl w:val="0"/>
          <w:numId w:val="2"/>
        </w:numPr>
        <w:spacing w:after="40" w:before="40"/>
      </w:pPr>
      <w:r>
        <w:rPr>
          <w:rFonts w:ascii="Arial" w:cs="Arial" w:eastAsia="Arial" w:hAnsi="Arial"/>
          <w:b w:val="false"/>
          <w:bCs w:val="false"/>
          <w:sz w:val="20"/>
          <w:szCs w:val="20"/>
        </w:rPr>
        <w:t xml:space="preserve">Price positioning matrix — Price vs Market Share scatter plot</w:t>
      </w:r>
    </w:p>
    <w:p>
      <w:pPr>
        <w:pStyle w:val="ListParagraph"/>
        <w:numPr>
          <w:ilvl w:val="0"/>
          <w:numId w:val="2"/>
        </w:numPr>
        <w:spacing w:after="40" w:before="40"/>
      </w:pPr>
      <w:r>
        <w:rPr>
          <w:rFonts w:ascii="Arial" w:cs="Arial" w:eastAsia="Arial" w:hAnsi="Arial"/>
          <w:b w:val="false"/>
          <w:bCs w:val="false"/>
          <w:sz w:val="20"/>
          <w:szCs w:val="20"/>
        </w:rPr>
        <w:t xml:space="preserve">Brand premium analysis — brand drug price vs generic equivalent</w:t>
      </w:r>
    </w:p>
    <w:p>
      <w:pPr>
        <w:pStyle w:val="ListParagraph"/>
        <w:numPr>
          <w:ilvl w:val="0"/>
          <w:numId w:val="2"/>
        </w:numPr>
        <w:spacing w:after="40" w:before="40"/>
      </w:pPr>
      <w:r>
        <w:rPr>
          <w:rFonts w:ascii="Arial" w:cs="Arial" w:eastAsia="Arial" w:hAnsi="Arial"/>
          <w:b w:val="false"/>
          <w:bCs w:val="false"/>
          <w:sz w:val="20"/>
          <w:szCs w:val="20"/>
        </w:rPr>
        <w:t xml:space="preserve">Gross-to-net gap by company</w:t>
      </w:r>
    </w:p>
    <w:p>
      <w:pPr>
        <w:pStyle w:val="ListParagraph"/>
        <w:numPr>
          <w:ilvl w:val="0"/>
          <w:numId w:val="2"/>
        </w:numPr>
        <w:spacing w:after="40" w:before="40"/>
      </w:pPr>
      <w:r>
        <w:rPr>
          <w:rFonts w:ascii="Arial" w:cs="Arial" w:eastAsia="Arial" w:hAnsi="Arial"/>
          <w:b w:val="false"/>
          <w:bCs w:val="false"/>
          <w:sz w:val="20"/>
          <w:szCs w:val="20"/>
        </w:rPr>
        <w:t xml:space="preserve">Exclusivity cliff tracking — drugs losing patent protection and expected price impact</w:t>
      </w:r>
    </w:p>
    <w:p>
      <w:r>
        <w:t xml:space="preserve"/>
      </w:r>
    </w:p>
    <w:p>
      <w:pPr>
        <w:pStyle w:val="Heading2"/>
        <w:spacing w:after="120" w:before="240"/>
      </w:pPr>
      <w:r>
        <w:rPr>
          <w:rFonts w:ascii="Arial" w:cs="Arial" w:eastAsia="Arial" w:hAnsi="Arial"/>
          <w:b/>
          <w:bCs/>
          <w:color w:val="2E5FA3"/>
          <w:sz w:val="26"/>
          <w:szCs w:val="26"/>
        </w:rPr>
        <w:t xml:space="preserve">4.3  Portfolio Pricing Strategy</w:t>
      </w:r>
    </w:p>
    <w:p>
      <w:pPr>
        <w:pStyle w:val="ListParagraph"/>
        <w:numPr>
          <w:ilvl w:val="0"/>
          <w:numId w:val="2"/>
        </w:numPr>
        <w:spacing w:after="40" w:before="40"/>
      </w:pPr>
      <w:r>
        <w:rPr>
          <w:rFonts w:ascii="Arial" w:cs="Arial" w:eastAsia="Arial" w:hAnsi="Arial"/>
          <w:b w:val="false"/>
          <w:bCs w:val="false"/>
          <w:sz w:val="20"/>
          <w:szCs w:val="20"/>
        </w:rPr>
        <w:t xml:space="preserve">Portfolio price distribution histogram by WAC</w:t>
      </w:r>
    </w:p>
    <w:p>
      <w:pPr>
        <w:pStyle w:val="ListParagraph"/>
        <w:numPr>
          <w:ilvl w:val="0"/>
          <w:numId w:val="2"/>
        </w:numPr>
        <w:spacing w:after="40" w:before="40"/>
      </w:pPr>
      <w:r>
        <w:rPr>
          <w:rFonts w:ascii="Arial" w:cs="Arial" w:eastAsia="Arial" w:hAnsi="Arial"/>
          <w:b w:val="false"/>
          <w:bCs w:val="false"/>
          <w:sz w:val="20"/>
          <w:szCs w:val="20"/>
        </w:rPr>
        <w:t xml:space="preserve">Therapeutic area breakdown — which segments command premium pricing</w:t>
      </w:r>
    </w:p>
    <w:p>
      <w:pPr>
        <w:pStyle w:val="ListParagraph"/>
        <w:numPr>
          <w:ilvl w:val="0"/>
          <w:numId w:val="2"/>
        </w:numPr>
        <w:spacing w:after="40" w:before="40"/>
      </w:pPr>
      <w:r>
        <w:rPr>
          <w:rFonts w:ascii="Arial" w:cs="Arial" w:eastAsia="Arial" w:hAnsi="Arial"/>
          <w:b w:val="false"/>
          <w:bCs w:val="false"/>
          <w:sz w:val="20"/>
          <w:szCs w:val="20"/>
        </w:rPr>
        <w:t xml:space="preserve">Launch price benchmarking — new drug WAC vs existing drugs in same class</w:t>
      </w:r>
    </w:p>
    <w:p>
      <w:pPr>
        <w:pStyle w:val="ListParagraph"/>
        <w:numPr>
          <w:ilvl w:val="0"/>
          <w:numId w:val="2"/>
        </w:numPr>
        <w:spacing w:after="40" w:before="40"/>
      </w:pPr>
      <w:r>
        <w:rPr>
          <w:rFonts w:ascii="Arial" w:cs="Arial" w:eastAsia="Arial" w:hAnsi="Arial"/>
          <w:b w:val="false"/>
          <w:bCs w:val="false"/>
          <w:sz w:val="20"/>
          <w:szCs w:val="20"/>
        </w:rPr>
        <w:t xml:space="preserve">Price tier segmentation: $0-$1K, $1K-$5K, $5K+</w:t>
      </w:r>
    </w:p>
    <w:p>
      <w:pPr>
        <w:pStyle w:val="ListParagraph"/>
        <w:numPr>
          <w:ilvl w:val="0"/>
          <w:numId w:val="2"/>
        </w:numPr>
        <w:spacing w:after="40" w:before="40"/>
      </w:pPr>
      <w:r>
        <w:rPr>
          <w:rFonts w:ascii="Arial" w:cs="Arial" w:eastAsia="Arial" w:hAnsi="Arial"/>
          <w:b w:val="false"/>
          <w:bCs w:val="false"/>
          <w:sz w:val="20"/>
          <w:szCs w:val="20"/>
        </w:rPr>
        <w:t xml:space="preserve">Revenue concentration — 80/20 analysis of which drugs drive portfolio value</w:t>
      </w:r>
    </w:p>
    <w:p>
      <w:r>
        <w:t xml:space="preserve"/>
      </w:r>
    </w:p>
    <w:p>
      <w:pPr>
        <w:pStyle w:val="Heading2"/>
        <w:spacing w:after="120" w:before="240"/>
      </w:pPr>
      <w:r>
        <w:rPr>
          <w:rFonts w:ascii="Arial" w:cs="Arial" w:eastAsia="Arial" w:hAnsi="Arial"/>
          <w:b/>
          <w:bCs/>
          <w:color w:val="2E5FA3"/>
          <w:sz w:val="26"/>
          <w:szCs w:val="26"/>
        </w:rPr>
        <w:t xml:space="preserve">4.4  Launch and Approval Intelligence</w:t>
      </w:r>
    </w:p>
    <w:p>
      <w:pPr>
        <w:pStyle w:val="ListParagraph"/>
        <w:numPr>
          <w:ilvl w:val="0"/>
          <w:numId w:val="2"/>
        </w:numPr>
        <w:spacing w:after="40" w:before="40"/>
      </w:pPr>
      <w:r>
        <w:rPr>
          <w:rFonts w:ascii="Arial" w:cs="Arial" w:eastAsia="Arial" w:hAnsi="Arial"/>
          <w:b w:val="false"/>
          <w:bCs w:val="false"/>
          <w:sz w:val="20"/>
          <w:szCs w:val="20"/>
        </w:rPr>
        <w:t xml:space="preserve">FDA approvals by year — NME and biologic trends 2015-2024</w:t>
      </w:r>
    </w:p>
    <w:p>
      <w:pPr>
        <w:pStyle w:val="ListParagraph"/>
        <w:numPr>
          <w:ilvl w:val="0"/>
          <w:numId w:val="2"/>
        </w:numPr>
        <w:spacing w:after="40" w:before="40"/>
      </w:pPr>
      <w:r>
        <w:rPr>
          <w:rFonts w:ascii="Arial" w:cs="Arial" w:eastAsia="Arial" w:hAnsi="Arial"/>
          <w:b w:val="false"/>
          <w:bCs w:val="false"/>
          <w:sz w:val="20"/>
          <w:szCs w:val="20"/>
        </w:rPr>
        <w:t xml:space="preserve">Time-to-market analysis — approval date to first pricing data</w:t>
      </w:r>
    </w:p>
    <w:p>
      <w:pPr>
        <w:pStyle w:val="ListParagraph"/>
        <w:numPr>
          <w:ilvl w:val="0"/>
          <w:numId w:val="2"/>
        </w:numPr>
        <w:spacing w:after="40" w:before="40"/>
      </w:pPr>
      <w:r>
        <w:rPr>
          <w:rFonts w:ascii="Arial" w:cs="Arial" w:eastAsia="Arial" w:hAnsi="Arial"/>
          <w:b w:val="false"/>
          <w:bCs w:val="false"/>
          <w:sz w:val="20"/>
          <w:szCs w:val="20"/>
        </w:rPr>
        <w:t xml:space="preserve">Launch WAC by therapeutic area</w:t>
      </w:r>
    </w:p>
    <w:p>
      <w:pPr>
        <w:pStyle w:val="ListParagraph"/>
        <w:numPr>
          <w:ilvl w:val="0"/>
          <w:numId w:val="2"/>
        </w:numPr>
        <w:spacing w:after="40" w:before="40"/>
      </w:pPr>
      <w:r>
        <w:rPr>
          <w:rFonts w:ascii="Arial" w:cs="Arial" w:eastAsia="Arial" w:hAnsi="Arial"/>
          <w:b w:val="false"/>
          <w:bCs w:val="false"/>
          <w:sz w:val="20"/>
          <w:szCs w:val="20"/>
        </w:rPr>
        <w:t xml:space="preserve">Approval volume by company — pipeline productivity comparison</w:t>
      </w:r>
    </w:p>
    <w:p>
      <w:pPr>
        <w:pStyle w:val="ListParagraph"/>
        <w:numPr>
          <w:ilvl w:val="0"/>
          <w:numId w:val="2"/>
        </w:numPr>
        <w:spacing w:after="40" w:before="40"/>
      </w:pPr>
      <w:r>
        <w:rPr>
          <w:rFonts w:ascii="Arial" w:cs="Arial" w:eastAsia="Arial" w:hAnsi="Arial"/>
          <w:b w:val="false"/>
          <w:bCs w:val="false"/>
          <w:sz w:val="20"/>
          <w:szCs w:val="20"/>
        </w:rPr>
        <w:t xml:space="preserve">Biosimilar entry impact — price drops after biosimilar approval</w:t>
      </w:r>
    </w:p>
    <w:p>
      <w:r>
        <w:t xml:space="preserve"/>
      </w:r>
    </w:p>
    <w:p>
      <w:pPr>
        <w:pStyle w:val="Heading2"/>
        <w:spacing w:after="120" w:before="240"/>
      </w:pPr>
      <w:r>
        <w:rPr>
          <w:rFonts w:ascii="Arial" w:cs="Arial" w:eastAsia="Arial" w:hAnsi="Arial"/>
          <w:b/>
          <w:bCs/>
          <w:color w:val="2E5FA3"/>
          <w:sz w:val="26"/>
          <w:szCs w:val="26"/>
        </w:rPr>
        <w:t xml:space="preserve">4.5  Market Dynamics</w:t>
      </w:r>
    </w:p>
    <w:p>
      <w:pPr>
        <w:pStyle w:val="ListParagraph"/>
        <w:numPr>
          <w:ilvl w:val="0"/>
          <w:numId w:val="2"/>
        </w:numPr>
        <w:spacing w:after="40" w:before="40"/>
      </w:pPr>
      <w:r>
        <w:rPr>
          <w:rFonts w:ascii="Arial" w:cs="Arial" w:eastAsia="Arial" w:hAnsi="Arial"/>
          <w:b w:val="false"/>
          <w:bCs w:val="false"/>
          <w:sz w:val="20"/>
          <w:szCs w:val="20"/>
        </w:rPr>
        <w:t xml:space="preserve">Specialty vs traditional drug pricing trends</w:t>
      </w:r>
    </w:p>
    <w:p>
      <w:pPr>
        <w:pStyle w:val="ListParagraph"/>
        <w:numPr>
          <w:ilvl w:val="0"/>
          <w:numId w:val="2"/>
        </w:numPr>
        <w:spacing w:after="40" w:before="40"/>
      </w:pPr>
      <w:r>
        <w:rPr>
          <w:rFonts w:ascii="Arial" w:cs="Arial" w:eastAsia="Arial" w:hAnsi="Arial"/>
          <w:b w:val="false"/>
          <w:bCs w:val="false"/>
          <w:sz w:val="20"/>
          <w:szCs w:val="20"/>
        </w:rPr>
        <w:t xml:space="preserve">Medicare Part B spend concentration — top drugs by ASP spend</w:t>
      </w:r>
    </w:p>
    <w:p>
      <w:pPr>
        <w:pStyle w:val="ListParagraph"/>
        <w:numPr>
          <w:ilvl w:val="0"/>
          <w:numId w:val="2"/>
        </w:numPr>
        <w:spacing w:after="40" w:before="40"/>
      </w:pPr>
      <w:r>
        <w:rPr>
          <w:rFonts w:ascii="Arial" w:cs="Arial" w:eastAsia="Arial" w:hAnsi="Arial"/>
          <w:b w:val="false"/>
          <w:bCs w:val="false"/>
          <w:sz w:val="20"/>
          <w:szCs w:val="20"/>
        </w:rPr>
        <w:t xml:space="preserve">Generic penetration rate — % prescriptions going generic by category</w:t>
      </w:r>
    </w:p>
    <w:p>
      <w:pPr>
        <w:pStyle w:val="ListParagraph"/>
        <w:numPr>
          <w:ilvl w:val="0"/>
          <w:numId w:val="2"/>
        </w:numPr>
        <w:spacing w:after="40" w:before="40"/>
      </w:pPr>
      <w:r>
        <w:rPr>
          <w:rFonts w:ascii="Arial" w:cs="Arial" w:eastAsia="Arial" w:hAnsi="Arial"/>
          <w:b w:val="false"/>
          <w:bCs w:val="false"/>
          <w:sz w:val="20"/>
          <w:szCs w:val="20"/>
        </w:rPr>
        <w:t xml:space="preserve">Gross-to-net bubble analysis — list price growth vs net price reality</w:t>
      </w:r>
    </w:p>
    <w:p>
      <w:pPr>
        <w:pStyle w:val="ListParagraph"/>
        <w:numPr>
          <w:ilvl w:val="0"/>
          <w:numId w:val="2"/>
        </w:numPr>
        <w:spacing w:after="40" w:before="40"/>
      </w:pPr>
      <w:r>
        <w:rPr>
          <w:rFonts w:ascii="Arial" w:cs="Arial" w:eastAsia="Arial" w:hAnsi="Arial"/>
          <w:b w:val="false"/>
          <w:bCs w:val="false"/>
          <w:sz w:val="20"/>
          <w:szCs w:val="20"/>
        </w:rPr>
        <w:t xml:space="preserve">IRA policy impact analysis on Medicare negotiation</w:t>
      </w:r>
    </w:p>
    <w:p>
      <w:r>
        <w:t xml:space="preserve"/>
      </w:r>
    </w:p>
    <w:p>
      <w:pPr>
        <w:pStyle w:val="Heading2"/>
        <w:spacing w:after="120" w:before="240"/>
      </w:pPr>
      <w:r>
        <w:rPr>
          <w:rFonts w:ascii="Arial" w:cs="Arial" w:eastAsia="Arial" w:hAnsi="Arial"/>
          <w:b/>
          <w:bCs/>
          <w:color w:val="2E5FA3"/>
          <w:sz w:val="26"/>
          <w:szCs w:val="26"/>
        </w:rPr>
        <w:t xml:space="preserve">4.6  Portfolio Optimization</w:t>
      </w:r>
    </w:p>
    <w:p>
      <w:pPr>
        <w:pStyle w:val="ListParagraph"/>
        <w:numPr>
          <w:ilvl w:val="0"/>
          <w:numId w:val="2"/>
        </w:numPr>
        <w:spacing w:after="40" w:before="40"/>
      </w:pPr>
      <w:r>
        <w:rPr>
          <w:rFonts w:ascii="Arial" w:cs="Arial" w:eastAsia="Arial" w:hAnsi="Arial"/>
          <w:b w:val="false"/>
          <w:bCs w:val="false"/>
          <w:sz w:val="20"/>
          <w:szCs w:val="20"/>
        </w:rPr>
        <w:t xml:space="preserve">Underperforming assets — high WAC but low market uptake</w:t>
      </w:r>
    </w:p>
    <w:p>
      <w:pPr>
        <w:pStyle w:val="ListParagraph"/>
        <w:numPr>
          <w:ilvl w:val="0"/>
          <w:numId w:val="2"/>
        </w:numPr>
        <w:spacing w:after="40" w:before="40"/>
      </w:pPr>
      <w:r>
        <w:rPr>
          <w:rFonts w:ascii="Arial" w:cs="Arial" w:eastAsia="Arial" w:hAnsi="Arial"/>
          <w:b w:val="false"/>
          <w:bCs w:val="false"/>
          <w:sz w:val="20"/>
          <w:szCs w:val="20"/>
        </w:rPr>
        <w:t xml:space="preserve">Pricing opportunity gaps — drugs priced below therapeutic class average</w:t>
      </w:r>
    </w:p>
    <w:p>
      <w:pPr>
        <w:pStyle w:val="ListParagraph"/>
        <w:numPr>
          <w:ilvl w:val="0"/>
          <w:numId w:val="2"/>
        </w:numPr>
        <w:spacing w:after="40" w:before="40"/>
      </w:pPr>
      <w:r>
        <w:rPr>
          <w:rFonts w:ascii="Arial" w:cs="Arial" w:eastAsia="Arial" w:hAnsi="Arial"/>
          <w:b w:val="false"/>
          <w:bCs w:val="false"/>
          <w:sz w:val="20"/>
          <w:szCs w:val="20"/>
        </w:rPr>
        <w:t xml:space="preserve">Patent cliff risk scoring — drugs nearing exclusivity expiry</w:t>
      </w:r>
    </w:p>
    <w:p>
      <w:pPr>
        <w:pStyle w:val="ListParagraph"/>
        <w:numPr>
          <w:ilvl w:val="0"/>
          <w:numId w:val="2"/>
        </w:numPr>
        <w:spacing w:after="40" w:before="40"/>
      </w:pPr>
      <w:r>
        <w:rPr>
          <w:rFonts w:ascii="Arial" w:cs="Arial" w:eastAsia="Arial" w:hAnsi="Arial"/>
          <w:b w:val="false"/>
          <w:bCs w:val="false"/>
          <w:sz w:val="20"/>
          <w:szCs w:val="20"/>
        </w:rPr>
        <w:t xml:space="preserve">Pipeline vs in-market balance — revenue diversity health check</w:t>
      </w:r>
    </w:p>
    <w:p>
      <w:r>
        <w:t xml:space="preserve"/>
      </w:r>
    </w:p>
    <w:p>
      <w:pPr>
        <w:pStyle w:val="Heading2"/>
        <w:spacing w:after="120" w:before="240"/>
      </w:pPr>
      <w:r>
        <w:rPr>
          <w:rFonts w:ascii="Arial" w:cs="Arial" w:eastAsia="Arial" w:hAnsi="Arial"/>
          <w:b/>
          <w:bCs/>
          <w:color w:val="2E5FA3"/>
          <w:sz w:val="26"/>
          <w:szCs w:val="26"/>
        </w:rPr>
        <w:t xml:space="preserve">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Dashboard</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Visual</w:t>
            </w:r>
          </w:p>
        </w:tc>
      </w:tr>
      <w:tr>
        <w:trPr>
          <w:tblHeader w:val="false"/>
        </w:trP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Executive Pricing Overview</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BI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KPI cards + trend lines</w:t>
            </w:r>
          </w:p>
        </w:tc>
      </w:tr>
      <w:tr>
        <w:trPr>
          <w:tblHeader w:val="false"/>
        </w:trP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Competitive Landscape</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Tableau</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Scatter plot + bubble chart</w:t>
            </w:r>
          </w:p>
        </w:tc>
      </w:tr>
      <w:tr>
        <w:trPr>
          <w:tblHeader w:val="false"/>
        </w:trP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Portfolio Heatmap</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BI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Matrix / treemap</w:t>
            </w:r>
          </w:p>
        </w:tc>
      </w:tr>
      <w:tr>
        <w:trPr>
          <w:tblHeader w:val="false"/>
        </w:trP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Launch Intelligence</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Tableau</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Timeline + bar charts</w:t>
            </w:r>
          </w:p>
        </w:tc>
      </w:tr>
      <w:tr>
        <w:trPr>
          <w:tblHeader w:val="false"/>
        </w:trP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 Dynamics</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BI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Area charts + waterfall</w:t>
            </w:r>
          </w:p>
        </w:tc>
      </w:tr>
      <w:tr>
        <w:trPr>
          <w:tblHeader w:val="false"/>
        </w:trP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Optimization Scorecard</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Excel</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Weighted scoring table</w:t>
            </w:r>
          </w:p>
        </w:tc>
      </w:tr>
    </w:tbl>
    <w:p>
      <w:r>
        <w:t xml:space="preserve"/>
      </w:r>
    </w:p>
    <w:p>
      <w:pPr>
        <w:pBdr>
          <w:bottom w:val="single" w:color="CCCCCC" w:sz="4" w:space="1"/>
        </w:pBdr>
        <w:spacing w:after="120" w:before="120"/>
      </w:pPr>
    </w:p>
    <w:p>
      <w:r>
        <w:t xml:space="preserve"/>
      </w:r>
    </w:p>
    <w:p>
      <w:pPr>
        <w:pStyle w:val="Heading1"/>
        <w:spacing w:after="160" w:before="320"/>
      </w:pPr>
      <w:r>
        <w:rPr>
          <w:rFonts w:ascii="Arial" w:cs="Arial" w:eastAsia="Arial" w:hAnsi="Arial"/>
          <w:b/>
          <w:bCs/>
          <w:color w:val="1F3864"/>
          <w:sz w:val="32"/>
          <w:szCs w:val="32"/>
        </w:rPr>
        <w:t xml:space="preserve">5. ETL Pipeline — 17 Steps (Project 2)</w:t>
      </w:r>
    </w:p>
    <w:p>
      <w:pPr>
        <w:spacing w:after="60" w:before="60"/>
      </w:pPr>
      <w:r>
        <w:rPr>
          <w:rFonts w:ascii="Arial" w:cs="Arial" w:eastAsia="Arial" w:hAnsi="Arial"/>
          <w:sz w:val="20"/>
          <w:szCs w:val="20"/>
        </w:rPr>
        <w:t xml:space="preserve">Tool: Alteryx Designer Cloud (browser-based, Standard Mode). No Download tool available in Cloud version — all raw files are manually downloaded and uploaded to Alteryx Cloud storage first.</w:t>
      </w:r>
    </w:p>
    <w:p>
      <w:r>
        <w:t xml:space="preserve"/>
      </w:r>
    </w:p>
    <w:p>
      <w:pPr>
        <w:spacing w:after="60" w:before="60"/>
      </w:pPr>
      <w:r>
        <w:rPr>
          <w:rFonts w:ascii="Arial" w:cs="Arial" w:eastAsia="Arial" w:hAnsi="Arial"/>
          <w:sz w:val="20"/>
          <w:szCs w:val="20"/>
        </w:rPr>
        <w:t xml:space="preserve">Important: Designer Cloud Standard Mode DOES have: Input Data, Output Data, Text Input, Formula, Multi-Row Formula, Filter, Select, Sort, Data Cleansing, Data Cleanse Pro, Unique, Rank, Join, Join Multiple, Union, Find Replace, Fuzzy Match, Summarize, Cross Tab, Transpose, Running Total, Count Rows, DateTime, RegEx, Text to Columns, JSON Parse, JSON Build, Dynamic Rename, Dynamic Replace, Dynamic Select.</w:t>
      </w:r>
    </w:p>
    <w:p>
      <w:r>
        <w:t xml:space="preserve"/>
      </w:r>
    </w:p>
    <w:p>
      <w:pPr>
        <w:spacing w:after="60" w:before="60"/>
      </w:pPr>
      <w:r>
        <w:rPr>
          <w:rFonts w:ascii="Arial" w:cs="Arial" w:eastAsia="Arial" w:hAnsi="Arial"/>
          <w:sz w:val="20"/>
          <w:szCs w:val="20"/>
        </w:rPr>
        <w:t xml:space="preserve">Designer Cloud does NOT have: Download tool, Dynamic Input tool, Directory tool, Run Command tool (those are desktop-only).</w:t>
      </w:r>
    </w:p>
    <w:p>
      <w:r>
        <w:t xml:space="preserve"/>
      </w:r>
    </w:p>
    <w:p>
      <w:pPr>
        <w:pStyle w:val="Heading2"/>
        <w:spacing w:after="120" w:before="240"/>
      </w:pPr>
      <w:r>
        <w:rPr>
          <w:rFonts w:ascii="Arial" w:cs="Arial" w:eastAsia="Arial" w:hAnsi="Arial"/>
          <w:b/>
          <w:bCs/>
          <w:color w:val="2E5FA3"/>
          <w:sz w:val="26"/>
          <w:szCs w:val="26"/>
        </w:rPr>
        <w:t xml:space="preserve">Phase A — One-time Manual Setup</w:t>
      </w:r>
    </w:p>
    <w:p>
      <w:r>
        <w:t xml:space="preserve"/>
      </w:r>
    </w:p>
    <w:p>
      <w:pPr>
        <w:spacing w:after="80" w:before="180"/>
      </w:pPr>
      <w:r>
        <w:rPr>
          <w:rFonts w:ascii="Arial" w:cs="Arial" w:eastAsia="Arial" w:hAnsi="Arial"/>
          <w:b/>
          <w:bCs/>
          <w:color w:val="2E5FA3"/>
          <w:sz w:val="22"/>
          <w:szCs w:val="22"/>
        </w:rPr>
        <w:t xml:space="preserve">Step 01 — Download raw source files manually</w:t>
      </w:r>
    </w:p>
    <w:p>
      <w:pPr>
        <w:pStyle w:val="ListParagraph"/>
        <w:numPr>
          <w:ilvl w:val="0"/>
          <w:numId w:val="2"/>
        </w:numPr>
        <w:spacing w:after="40" w:before="40"/>
      </w:pPr>
      <w:r>
        <w:rPr>
          <w:rFonts w:ascii="Arial" w:cs="Arial" w:eastAsia="Arial" w:hAnsi="Arial"/>
          <w:b w:val="false"/>
          <w:bCs w:val="false"/>
          <w:sz w:val="20"/>
          <w:szCs w:val="20"/>
        </w:rPr>
        <w:t xml:space="preserve">CMS ASP: Download ASP Pricing File (ZIP) and ASP NDC-HCPCS Crosswalk (ZIP) for each quarter of 2023 and 2024 — 16 ZIP files total. Skip NOC files.</w:t>
      </w:r>
    </w:p>
    <w:p>
      <w:pPr>
        <w:pStyle w:val="ListParagraph"/>
        <w:numPr>
          <w:ilvl w:val="0"/>
          <w:numId w:val="2"/>
        </w:numPr>
        <w:spacing w:after="40" w:before="40"/>
      </w:pPr>
      <w:r>
        <w:rPr>
          <w:rFonts w:ascii="Arial" w:cs="Arial" w:eastAsia="Arial" w:hAnsi="Arial"/>
          <w:b w:val="false"/>
          <w:bCs w:val="false"/>
          <w:sz w:val="20"/>
          <w:szCs w:val="20"/>
        </w:rPr>
        <w:t xml:space="preserve">NADAC: data.medicaid.gov → search NADAC → Export as CSV → filter 2022 onward</w:t>
      </w:r>
    </w:p>
    <w:p>
      <w:pPr>
        <w:pStyle w:val="ListParagraph"/>
        <w:numPr>
          <w:ilvl w:val="0"/>
          <w:numId w:val="2"/>
        </w:numPr>
        <w:spacing w:after="40" w:before="40"/>
      </w:pPr>
      <w:r>
        <w:rPr>
          <w:rFonts w:ascii="Arial" w:cs="Arial" w:eastAsia="Arial" w:hAnsi="Arial"/>
          <w:b w:val="false"/>
          <w:bCs w:val="false"/>
          <w:sz w:val="20"/>
          <w:szCs w:val="20"/>
        </w:rPr>
        <w:t xml:space="preserve">FDA CDER: fda.gov → CDER NME approvals CSV (single file). Also Orange Book products.txt and exclusivity.txt</w:t>
      </w:r>
    </w:p>
    <w:p>
      <w:pPr>
        <w:pStyle w:val="ListParagraph"/>
        <w:numPr>
          <w:ilvl w:val="0"/>
          <w:numId w:val="2"/>
        </w:numPr>
        <w:spacing w:after="40" w:before="40"/>
      </w:pPr>
      <w:r>
        <w:rPr>
          <w:rFonts w:ascii="Arial" w:cs="Arial" w:eastAsia="Arial" w:hAnsi="Arial"/>
          <w:b w:val="false"/>
          <w:bCs w:val="false"/>
          <w:sz w:val="20"/>
          <w:szCs w:val="20"/>
        </w:rPr>
        <w:t xml:space="preserve">FRED PPI: fred.stlouisfed.org/series/PCU4461104461101 → Download → CSV → 2020 to present</w:t>
      </w:r>
    </w:p>
    <w:p>
      <w:pPr>
        <w:pStyle w:val="ListParagraph"/>
        <w:numPr>
          <w:ilvl w:val="0"/>
          <w:numId w:val="2"/>
        </w:numPr>
        <w:spacing w:after="40" w:before="40"/>
      </w:pPr>
      <w:r>
        <w:rPr>
          <w:rFonts w:ascii="Arial" w:cs="Arial" w:eastAsia="Arial" w:hAnsi="Arial"/>
          <w:b w:val="false"/>
          <w:bCs w:val="false"/>
          <w:sz w:val="20"/>
          <w:szCs w:val="20"/>
        </w:rPr>
        <w:t xml:space="preserve">Upload all files to Alteryx Designer Cloud Files tab (left sidebar)</w:t>
      </w:r>
    </w:p>
    <w:p>
      <w:pPr>
        <w:pStyle w:val="ListParagraph"/>
        <w:numPr>
          <w:ilvl w:val="0"/>
          <w:numId w:val="2"/>
        </w:numPr>
        <w:spacing w:after="40" w:before="40"/>
      </w:pPr>
      <w:r>
        <w:rPr>
          <w:rFonts w:ascii="Arial" w:cs="Arial" w:eastAsia="Arial" w:hAnsi="Arial"/>
          <w:b w:val="false"/>
          <w:bCs w:val="false"/>
          <w:sz w:val="20"/>
          <w:szCs w:val="20"/>
        </w:rPr>
        <w:t xml:space="preserve">Rename files clearly: asp_pricing_2023_Q1.zip, asp_crosswalk_2023_Q1.zip, etc.</w:t>
      </w:r>
    </w:p>
    <w:p>
      <w:r>
        <w:t xml:space="preserve"/>
      </w:r>
    </w:p>
    <w:p>
      <w:pPr>
        <w:spacing w:after="80" w:before="180"/>
      </w:pPr>
      <w:r>
        <w:rPr>
          <w:rFonts w:ascii="Arial" w:cs="Arial" w:eastAsia="Arial" w:hAnsi="Arial"/>
          <w:b/>
          <w:bCs/>
          <w:color w:val="2E5FA3"/>
          <w:sz w:val="22"/>
          <w:szCs w:val="22"/>
        </w:rPr>
        <w:t xml:space="preserve">Step 02 — Create workflow and connect all sources</w:t>
      </w:r>
    </w:p>
    <w:p>
      <w:pPr>
        <w:pStyle w:val="ListParagraph"/>
        <w:numPr>
          <w:ilvl w:val="0"/>
          <w:numId w:val="2"/>
        </w:numPr>
        <w:spacing w:after="40" w:before="40"/>
      </w:pPr>
      <w:r>
        <w:rPr>
          <w:rFonts w:ascii="Arial" w:cs="Arial" w:eastAsia="Arial" w:hAnsi="Arial"/>
          <w:b w:val="false"/>
          <w:bCs w:val="false"/>
          <w:sz w:val="20"/>
          <w:szCs w:val="20"/>
        </w:rPr>
        <w:t xml:space="preserve">Open Designer Cloud → New Workflow → Standard Mode</w:t>
      </w:r>
    </w:p>
    <w:p>
      <w:pPr>
        <w:pStyle w:val="ListParagraph"/>
        <w:numPr>
          <w:ilvl w:val="0"/>
          <w:numId w:val="2"/>
        </w:numPr>
        <w:spacing w:after="40" w:before="40"/>
      </w:pPr>
      <w:r>
        <w:rPr>
          <w:rFonts w:ascii="Arial" w:cs="Arial" w:eastAsia="Arial" w:hAnsi="Arial"/>
          <w:b w:val="false"/>
          <w:bCs w:val="false"/>
          <w:sz w:val="20"/>
          <w:szCs w:val="20"/>
        </w:rPr>
        <w:t xml:space="preserve">Drop Input Data tool → connect to each uploaded CSV file</w:t>
      </w:r>
    </w:p>
    <w:p>
      <w:pPr>
        <w:pStyle w:val="ListParagraph"/>
        <w:numPr>
          <w:ilvl w:val="0"/>
          <w:numId w:val="2"/>
        </w:numPr>
        <w:spacing w:after="40" w:before="40"/>
      </w:pPr>
      <w:r>
        <w:rPr>
          <w:rFonts w:ascii="Arial" w:cs="Arial" w:eastAsia="Arial" w:hAnsi="Arial"/>
          <w:b w:val="false"/>
          <w:bCs w:val="false"/>
          <w:sz w:val="20"/>
          <w:szCs w:val="20"/>
        </w:rPr>
        <w:t xml:space="preserve">5 Input Data tools total: ASP, NADAC, FDA CDER, Orange Book, PPI</w:t>
      </w:r>
    </w:p>
    <w:p>
      <w:pPr>
        <w:pStyle w:val="ListParagraph"/>
        <w:numPr>
          <w:ilvl w:val="0"/>
          <w:numId w:val="2"/>
        </w:numPr>
        <w:spacing w:after="40" w:before="40"/>
      </w:pPr>
      <w:r>
        <w:rPr>
          <w:rFonts w:ascii="Arial" w:cs="Arial" w:eastAsia="Arial" w:hAnsi="Arial"/>
          <w:b w:val="false"/>
          <w:bCs w:val="false"/>
          <w:sz w:val="20"/>
          <w:szCs w:val="20"/>
        </w:rPr>
        <w:t xml:space="preserve">For multiple ASP quarterly CSVs: pre-combine into one file before uploading, OR use Text Input listing filenames piped into Union tool</w:t>
      </w:r>
    </w:p>
    <w:p>
      <w:pPr>
        <w:pStyle w:val="ListParagraph"/>
        <w:numPr>
          <w:ilvl w:val="0"/>
          <w:numId w:val="2"/>
        </w:numPr>
        <w:spacing w:after="40" w:before="40"/>
      </w:pPr>
      <w:r>
        <w:rPr>
          <w:rFonts w:ascii="Arial" w:cs="Arial" w:eastAsia="Arial" w:hAnsi="Arial"/>
          <w:b w:val="false"/>
          <w:bCs w:val="false"/>
          <w:sz w:val="20"/>
          <w:szCs w:val="20"/>
        </w:rPr>
        <w:t xml:space="preserve">Run each Input Data individually and verify in Results Grid: column names, row counts, data types</w:t>
      </w:r>
    </w:p>
    <w:p>
      <w:r>
        <w:t xml:space="preserve"/>
      </w:r>
    </w:p>
    <w:p>
      <w:pPr>
        <w:pStyle w:val="Heading2"/>
        <w:spacing w:after="120" w:before="240"/>
      </w:pPr>
      <w:r>
        <w:rPr>
          <w:rFonts w:ascii="Arial" w:cs="Arial" w:eastAsia="Arial" w:hAnsi="Arial"/>
          <w:b/>
          <w:bCs/>
          <w:color w:val="2E5FA3"/>
          <w:sz w:val="26"/>
          <w:szCs w:val="26"/>
        </w:rPr>
        <w:t xml:space="preserve">Phase B — Validate Each Source</w:t>
      </w:r>
    </w:p>
    <w:p>
      <w:r>
        <w:t xml:space="preserve"/>
      </w:r>
    </w:p>
    <w:p>
      <w:pPr>
        <w:spacing w:after="80" w:before="180"/>
      </w:pPr>
      <w:r>
        <w:rPr>
          <w:rFonts w:ascii="Arial" w:cs="Arial" w:eastAsia="Arial" w:hAnsi="Arial"/>
          <w:b/>
          <w:bCs/>
          <w:color w:val="2E5FA3"/>
          <w:sz w:val="22"/>
          <w:szCs w:val="22"/>
        </w:rPr>
        <w:t xml:space="preserve">Step 03 — Validate ASP data</w:t>
      </w:r>
    </w:p>
    <w:p>
      <w:pPr>
        <w:pStyle w:val="ListParagraph"/>
        <w:numPr>
          <w:ilvl w:val="0"/>
          <w:numId w:val="2"/>
        </w:numPr>
        <w:spacing w:after="40" w:before="40"/>
      </w:pPr>
      <w:r>
        <w:rPr>
          <w:rFonts w:ascii="Arial" w:cs="Arial" w:eastAsia="Arial" w:hAnsi="Arial"/>
          <w:b w:val="false"/>
          <w:bCs w:val="false"/>
          <w:sz w:val="20"/>
          <w:szCs w:val="20"/>
        </w:rPr>
        <w:t xml:space="preserve">Data Cleanse Pro → remove whitespace, uppercase all strings, replace nulls</w:t>
      </w:r>
    </w:p>
    <w:p>
      <w:pPr>
        <w:pStyle w:val="ListParagraph"/>
        <w:numPr>
          <w:ilvl w:val="0"/>
          <w:numId w:val="2"/>
        </w:numPr>
        <w:spacing w:after="40" w:before="40"/>
      </w:pPr>
      <w:r>
        <w:rPr>
          <w:rFonts w:ascii="Arial" w:cs="Arial" w:eastAsia="Arial" w:hAnsi="Arial"/>
          <w:b w:val="false"/>
          <w:bCs w:val="false"/>
          <w:sz w:val="20"/>
          <w:szCs w:val="20"/>
        </w:rPr>
        <w:t xml:space="preserve">Filter → True condition: LENGTH(TRIM([NDC_Code])) == 11 → False output to Browse for inspection</w:t>
      </w:r>
    </w:p>
    <w:p>
      <w:pPr>
        <w:pStyle w:val="ListParagraph"/>
        <w:numPr>
          <w:ilvl w:val="0"/>
          <w:numId w:val="2"/>
        </w:numPr>
        <w:spacing w:after="40" w:before="40"/>
      </w:pPr>
      <w:r>
        <w:rPr>
          <w:rFonts w:ascii="Arial" w:cs="Arial" w:eastAsia="Arial" w:hAnsi="Arial"/>
          <w:b w:val="false"/>
          <w:bCs w:val="false"/>
          <w:sz w:val="20"/>
          <w:szCs w:val="20"/>
        </w:rPr>
        <w:t xml:space="preserve">Unique tool → Group by NDC_Code + Quarter → Unique continues forward, Duplicates to Browse</w:t>
      </w:r>
    </w:p>
    <w:p>
      <w:pPr>
        <w:pStyle w:val="ListParagraph"/>
        <w:numPr>
          <w:ilvl w:val="0"/>
          <w:numId w:val="2"/>
        </w:numPr>
        <w:spacing w:after="40" w:before="40"/>
      </w:pPr>
      <w:r>
        <w:rPr>
          <w:rFonts w:ascii="Arial" w:cs="Arial" w:eastAsia="Arial" w:hAnsi="Arial"/>
          <w:b w:val="false"/>
          <w:bCs w:val="false"/>
          <w:sz w:val="20"/>
          <w:szCs w:val="20"/>
        </w:rPr>
        <w:t xml:space="preserve">Count Rows tool before and after — document both numbers as QA evidence</w:t>
      </w:r>
    </w:p>
    <w:p>
      <w:r>
        <w:t xml:space="preserve"/>
      </w:r>
    </w:p>
    <w:p>
      <w:pPr>
        <w:spacing w:after="80" w:before="180"/>
      </w:pPr>
      <w:r>
        <w:rPr>
          <w:rFonts w:ascii="Arial" w:cs="Arial" w:eastAsia="Arial" w:hAnsi="Arial"/>
          <w:b/>
          <w:bCs/>
          <w:color w:val="2E5FA3"/>
          <w:sz w:val="22"/>
          <w:szCs w:val="22"/>
        </w:rPr>
        <w:t xml:space="preserve">Step 04 — Validate NADAC, FDA, and PPI sources</w:t>
      </w:r>
    </w:p>
    <w:p>
      <w:pPr>
        <w:pStyle w:val="ListParagraph"/>
        <w:numPr>
          <w:ilvl w:val="0"/>
          <w:numId w:val="2"/>
        </w:numPr>
        <w:spacing w:after="40" w:before="40"/>
      </w:pPr>
      <w:r>
        <w:rPr>
          <w:rFonts w:ascii="Arial" w:cs="Arial" w:eastAsia="Arial" w:hAnsi="Arial"/>
          <w:b w:val="false"/>
          <w:bCs w:val="false"/>
          <w:sz w:val="20"/>
          <w:szCs w:val="20"/>
        </w:rPr>
        <w:t xml:space="preserve">NADAC: Data Cleanse Pro → Filter where [NADAC_Per_Unit] &gt; 0 → DateTime tool to standardize effective_date</w:t>
      </w:r>
    </w:p>
    <w:p>
      <w:pPr>
        <w:pStyle w:val="ListParagraph"/>
        <w:numPr>
          <w:ilvl w:val="0"/>
          <w:numId w:val="2"/>
        </w:numPr>
        <w:spacing w:after="40" w:before="40"/>
      </w:pPr>
      <w:r>
        <w:rPr>
          <w:rFonts w:ascii="Arial" w:cs="Arial" w:eastAsia="Arial" w:hAnsi="Arial"/>
          <w:b w:val="false"/>
          <w:bCs w:val="false"/>
          <w:sz w:val="20"/>
          <w:szCs w:val="20"/>
        </w:rPr>
        <w:t xml:space="preserve">FDA CDER: Data Cleanse Pro → Filter where !IsNull([Approval_Date])</w:t>
      </w:r>
    </w:p>
    <w:p>
      <w:pPr>
        <w:pStyle w:val="ListParagraph"/>
        <w:numPr>
          <w:ilvl w:val="0"/>
          <w:numId w:val="2"/>
        </w:numPr>
        <w:spacing w:after="40" w:before="40"/>
      </w:pPr>
      <w:r>
        <w:rPr>
          <w:rFonts w:ascii="Arial" w:cs="Arial" w:eastAsia="Arial" w:hAnsi="Arial"/>
          <w:b w:val="false"/>
          <w:bCs w:val="false"/>
          <w:sz w:val="20"/>
          <w:szCs w:val="20"/>
        </w:rPr>
        <w:t xml:space="preserve">Orange Book: Filter where !IsNull([Exclusivity_Date])</w:t>
      </w:r>
    </w:p>
    <w:p>
      <w:pPr>
        <w:pStyle w:val="ListParagraph"/>
        <w:numPr>
          <w:ilvl w:val="0"/>
          <w:numId w:val="2"/>
        </w:numPr>
        <w:spacing w:after="40" w:before="40"/>
      </w:pPr>
      <w:r>
        <w:rPr>
          <w:rFonts w:ascii="Arial" w:cs="Arial" w:eastAsia="Arial" w:hAnsi="Arial"/>
          <w:b w:val="false"/>
          <w:bCs w:val="false"/>
          <w:sz w:val="20"/>
          <w:szCs w:val="20"/>
        </w:rPr>
        <w:t xml:space="preserve">PPI: Data Cleanse Pro → DateTime tool → Filter where [Value] &gt; 0</w:t>
      </w:r>
    </w:p>
    <w:p>
      <w:pPr>
        <w:pStyle w:val="ListParagraph"/>
        <w:numPr>
          <w:ilvl w:val="0"/>
          <w:numId w:val="2"/>
        </w:numPr>
        <w:spacing w:after="40" w:before="40"/>
      </w:pPr>
      <w:r>
        <w:rPr>
          <w:rFonts w:ascii="Arial" w:cs="Arial" w:eastAsia="Arial" w:hAnsi="Arial"/>
          <w:b w:val="false"/>
          <w:bCs w:val="false"/>
          <w:sz w:val="20"/>
          <w:szCs w:val="20"/>
        </w:rPr>
        <w:t xml:space="preserve">Count Rows before and after on all streams — screenshot for QA evidence</w:t>
      </w:r>
    </w:p>
    <w:p>
      <w:r>
        <w:t xml:space="preserve"/>
      </w:r>
    </w:p>
    <w:p>
      <w:pPr>
        <w:pStyle w:val="Heading2"/>
        <w:spacing w:after="120" w:before="240"/>
      </w:pPr>
      <w:r>
        <w:rPr>
          <w:rFonts w:ascii="Arial" w:cs="Arial" w:eastAsia="Arial" w:hAnsi="Arial"/>
          <w:b/>
          <w:bCs/>
          <w:color w:val="2E5FA3"/>
          <w:sz w:val="26"/>
          <w:szCs w:val="26"/>
        </w:rPr>
        <w:t xml:space="preserve">Phase C — Transform and Standardize</w:t>
      </w:r>
    </w:p>
    <w:p>
      <w:r>
        <w:t xml:space="preserve"/>
      </w:r>
    </w:p>
    <w:p>
      <w:pPr>
        <w:spacing w:after="80" w:before="180"/>
      </w:pPr>
      <w:r>
        <w:rPr>
          <w:rFonts w:ascii="Arial" w:cs="Arial" w:eastAsia="Arial" w:hAnsi="Arial"/>
          <w:b/>
          <w:bCs/>
          <w:color w:val="2E5FA3"/>
          <w:sz w:val="22"/>
          <w:szCs w:val="22"/>
        </w:rPr>
        <w:t xml:space="preserve">Step 05 — Standardize NDC codes</w:t>
      </w:r>
    </w:p>
    <w:p>
      <w:pPr>
        <w:pStyle w:val="ListParagraph"/>
        <w:numPr>
          <w:ilvl w:val="0"/>
          <w:numId w:val="2"/>
        </w:numPr>
        <w:spacing w:after="40" w:before="40"/>
      </w:pPr>
      <w:r>
        <w:rPr>
          <w:rFonts w:ascii="Arial" w:cs="Arial" w:eastAsia="Arial" w:hAnsi="Arial"/>
          <w:b w:val="false"/>
          <w:bCs w:val="false"/>
          <w:sz w:val="20"/>
          <w:szCs w:val="20"/>
        </w:rPr>
        <w:t xml:space="preserve">Formula tool on ASP: NDC_Clean = PadLeft(TRIM(Replace([NDC_Code], "-", "")), 11, "0")</w:t>
      </w:r>
    </w:p>
    <w:p>
      <w:pPr>
        <w:pStyle w:val="ListParagraph"/>
        <w:numPr>
          <w:ilvl w:val="0"/>
          <w:numId w:val="2"/>
        </w:numPr>
        <w:spacing w:after="40" w:before="40"/>
      </w:pPr>
      <w:r>
        <w:rPr>
          <w:rFonts w:ascii="Arial" w:cs="Arial" w:eastAsia="Arial" w:hAnsi="Arial"/>
          <w:b w:val="false"/>
          <w:bCs w:val="false"/>
          <w:sz w:val="20"/>
          <w:szCs w:val="20"/>
        </w:rPr>
        <w:t xml:space="preserve">Same formula on NADAC stream — output also named NDC_Clean</w:t>
      </w:r>
    </w:p>
    <w:p>
      <w:pPr>
        <w:pStyle w:val="ListParagraph"/>
        <w:numPr>
          <w:ilvl w:val="0"/>
          <w:numId w:val="2"/>
        </w:numPr>
        <w:spacing w:after="40" w:before="40"/>
      </w:pPr>
      <w:r>
        <w:rPr>
          <w:rFonts w:ascii="Arial" w:cs="Arial" w:eastAsia="Arial" w:hAnsi="Arial"/>
          <w:b w:val="false"/>
          <w:bCs w:val="false"/>
          <w:sz w:val="20"/>
          <w:szCs w:val="20"/>
        </w:rPr>
        <w:t xml:space="preserve">Select tool on both streams — rename columns to consistent names across streams</w:t>
      </w:r>
    </w:p>
    <w:p>
      <w:pPr>
        <w:pStyle w:val="ListParagraph"/>
        <w:numPr>
          <w:ilvl w:val="0"/>
          <w:numId w:val="2"/>
        </w:numPr>
        <w:spacing w:after="40" w:before="40"/>
      </w:pPr>
      <w:r>
        <w:rPr>
          <w:rFonts w:ascii="Arial" w:cs="Arial" w:eastAsia="Arial" w:hAnsi="Arial"/>
          <w:b w:val="false"/>
          <w:bCs w:val="false"/>
          <w:sz w:val="20"/>
          <w:szCs w:val="20"/>
        </w:rPr>
        <w:t xml:space="preserve">Drop original messy columns in Select tool</w:t>
      </w:r>
    </w:p>
    <w:p>
      <w:r>
        <w:t xml:space="preserve"/>
      </w:r>
    </w:p>
    <w:p>
      <w:pPr>
        <w:spacing w:after="80" w:before="180"/>
      </w:pPr>
      <w:r>
        <w:rPr>
          <w:rFonts w:ascii="Arial" w:cs="Arial" w:eastAsia="Arial" w:hAnsi="Arial"/>
          <w:b/>
          <w:bCs/>
          <w:color w:val="2E5FA3"/>
          <w:sz w:val="22"/>
          <w:szCs w:val="22"/>
        </w:rPr>
        <w:t xml:space="preserve">Step 06 — Standardize drug names using Find Replace</w:t>
      </w:r>
    </w:p>
    <w:p>
      <w:pPr>
        <w:pStyle w:val="ListParagraph"/>
        <w:numPr>
          <w:ilvl w:val="0"/>
          <w:numId w:val="2"/>
        </w:numPr>
        <w:spacing w:after="40" w:before="40"/>
      </w:pPr>
      <w:r>
        <w:rPr>
          <w:rFonts w:ascii="Arial" w:cs="Arial" w:eastAsia="Arial" w:hAnsi="Arial"/>
          <w:b w:val="false"/>
          <w:bCs w:val="false"/>
          <w:sz w:val="20"/>
          <w:szCs w:val="20"/>
        </w:rPr>
        <w:t xml:space="preserve">Text Input tool → manually build 2-column lookup: Raw_Name column and Canonical_Name column</w:t>
      </w:r>
    </w:p>
    <w:p>
      <w:pPr>
        <w:pStyle w:val="ListParagraph"/>
        <w:numPr>
          <w:ilvl w:val="0"/>
          <w:numId w:val="2"/>
        </w:numPr>
        <w:spacing w:after="40" w:before="40"/>
      </w:pPr>
      <w:r>
        <w:rPr>
          <w:rFonts w:ascii="Arial" w:cs="Arial" w:eastAsia="Arial" w:hAnsi="Arial"/>
          <w:b w:val="false"/>
          <w:bCs w:val="false"/>
          <w:sz w:val="20"/>
          <w:szCs w:val="20"/>
        </w:rPr>
        <w:t xml:space="preserve">Add 20-30 rows for most common drugs (top oncology, insulin products, top biologics)</w:t>
      </w:r>
    </w:p>
    <w:p>
      <w:pPr>
        <w:pStyle w:val="ListParagraph"/>
        <w:numPr>
          <w:ilvl w:val="0"/>
          <w:numId w:val="2"/>
        </w:numPr>
        <w:spacing w:after="40" w:before="40"/>
      </w:pPr>
      <w:r>
        <w:rPr>
          <w:rFonts w:ascii="Arial" w:cs="Arial" w:eastAsia="Arial" w:hAnsi="Arial"/>
          <w:b w:val="false"/>
          <w:bCs w:val="false"/>
          <w:sz w:val="20"/>
          <w:szCs w:val="20"/>
        </w:rPr>
        <w:t xml:space="preserve">Find Replace tool → Find field: Drug_Name, Replace with: Canonical_Name from lookup</w:t>
      </w:r>
    </w:p>
    <w:p>
      <w:pPr>
        <w:pStyle w:val="ListParagraph"/>
        <w:numPr>
          <w:ilvl w:val="0"/>
          <w:numId w:val="2"/>
        </w:numPr>
        <w:spacing w:after="40" w:before="40"/>
      </w:pPr>
      <w:r>
        <w:rPr>
          <w:rFonts w:ascii="Arial" w:cs="Arial" w:eastAsia="Arial" w:hAnsi="Arial"/>
          <w:b w:val="false"/>
          <w:bCs w:val="false"/>
          <w:sz w:val="20"/>
          <w:szCs w:val="20"/>
        </w:rPr>
        <w:t xml:space="preserve">Repeat for NADAC stream</w:t>
      </w:r>
    </w:p>
    <w:p>
      <w:pPr>
        <w:pStyle w:val="ListParagraph"/>
        <w:numPr>
          <w:ilvl w:val="0"/>
          <w:numId w:val="2"/>
        </w:numPr>
        <w:spacing w:after="40" w:before="40"/>
      </w:pPr>
      <w:r>
        <w:rPr>
          <w:rFonts w:ascii="Arial" w:cs="Arial" w:eastAsia="Arial" w:hAnsi="Arial"/>
          <w:b w:val="false"/>
          <w:bCs w:val="false"/>
          <w:sz w:val="20"/>
          <w:szCs w:val="20"/>
        </w:rPr>
        <w:t xml:space="preserve">Fuzzy Match tool afterward to catch any remaining near-duplicate name variants</w:t>
      </w:r>
    </w:p>
    <w:p>
      <w:r>
        <w:t xml:space="preserve"/>
      </w:r>
    </w:p>
    <w:p>
      <w:pPr>
        <w:spacing w:after="80" w:before="180"/>
      </w:pPr>
      <w:r>
        <w:rPr>
          <w:rFonts w:ascii="Arial" w:cs="Arial" w:eastAsia="Arial" w:hAnsi="Arial"/>
          <w:b/>
          <w:bCs/>
          <w:color w:val="2E5FA3"/>
          <w:sz w:val="22"/>
          <w:szCs w:val="22"/>
        </w:rPr>
        <w:t xml:space="preserve">Step 07 — Add therapeutic area and drug type tags</w:t>
      </w:r>
    </w:p>
    <w:p>
      <w:pPr>
        <w:pStyle w:val="ListParagraph"/>
        <w:numPr>
          <w:ilvl w:val="0"/>
          <w:numId w:val="2"/>
        </w:numPr>
        <w:spacing w:after="40" w:before="40"/>
      </w:pPr>
      <w:r>
        <w:rPr>
          <w:rFonts w:ascii="Arial" w:cs="Arial" w:eastAsia="Arial" w:hAnsi="Arial"/>
          <w:b w:val="false"/>
          <w:bCs w:val="false"/>
          <w:sz w:val="20"/>
          <w:szCs w:val="20"/>
        </w:rPr>
        <w:t xml:space="preserve">From FDA stream → Select → isolate Drug_Name_Clean + Pharmacologic_Class → becomes lookup</w:t>
      </w:r>
    </w:p>
    <w:p>
      <w:pPr>
        <w:pStyle w:val="ListParagraph"/>
        <w:numPr>
          <w:ilvl w:val="0"/>
          <w:numId w:val="2"/>
        </w:numPr>
        <w:spacing w:after="40" w:before="40"/>
      </w:pPr>
      <w:r>
        <w:rPr>
          <w:rFonts w:ascii="Arial" w:cs="Arial" w:eastAsia="Arial" w:hAnsi="Arial"/>
          <w:b w:val="false"/>
          <w:bCs w:val="false"/>
          <w:sz w:val="20"/>
          <w:szCs w:val="20"/>
        </w:rPr>
        <w:t xml:space="preserve">Formula tool → IF Contains([Pharmacologic_Class], "antineoplastic") THEN "Oncology" ELSEIF Contains([Pharmacologic_Class], "insulin") THEN "Endocrine" etc.</w:t>
      </w:r>
    </w:p>
    <w:p>
      <w:pPr>
        <w:pStyle w:val="ListParagraph"/>
        <w:numPr>
          <w:ilvl w:val="0"/>
          <w:numId w:val="2"/>
        </w:numPr>
        <w:spacing w:after="40" w:before="40"/>
      </w:pPr>
      <w:r>
        <w:rPr>
          <w:rFonts w:ascii="Arial" w:cs="Arial" w:eastAsia="Arial" w:hAnsi="Arial"/>
          <w:b w:val="false"/>
          <w:bCs w:val="false"/>
          <w:sz w:val="20"/>
          <w:szCs w:val="20"/>
        </w:rPr>
        <w:t xml:space="preserve">Join tool: ASP stream (L) + FDA lookup (R) → join on Drug_Name_Clean → Left Join</w:t>
      </w:r>
    </w:p>
    <w:p>
      <w:pPr>
        <w:pStyle w:val="ListParagraph"/>
        <w:numPr>
          <w:ilvl w:val="0"/>
          <w:numId w:val="2"/>
        </w:numPr>
        <w:spacing w:after="40" w:before="40"/>
      </w:pPr>
      <w:r>
        <w:rPr>
          <w:rFonts w:ascii="Arial" w:cs="Arial" w:eastAsia="Arial" w:hAnsi="Arial"/>
          <w:b w:val="false"/>
          <w:bCs w:val="false"/>
          <w:sz w:val="20"/>
          <w:szCs w:val="20"/>
        </w:rPr>
        <w:t xml:space="preserve">Unmatched ASP rows (L output) → Formula → Therapeutic_Area = "Unclassified"</w:t>
      </w:r>
    </w:p>
    <w:p>
      <w:pPr>
        <w:pStyle w:val="ListParagraph"/>
        <w:numPr>
          <w:ilvl w:val="0"/>
          <w:numId w:val="2"/>
        </w:numPr>
        <w:spacing w:after="40" w:before="40"/>
      </w:pPr>
      <w:r>
        <w:rPr>
          <w:rFonts w:ascii="Arial" w:cs="Arial" w:eastAsia="Arial" w:hAnsi="Arial"/>
          <w:b w:val="false"/>
          <w:bCs w:val="false"/>
          <w:sz w:val="20"/>
          <w:szCs w:val="20"/>
        </w:rPr>
        <w:t xml:space="preserve">Formula → Drug_Type: IF [Classification]="B" THEN "Brand" ELSEIF [Classification]="G" THEN "Generic" ELSE "Biologic" ENDIF</w:t>
      </w:r>
    </w:p>
    <w:p>
      <w:pPr>
        <w:pStyle w:val="ListParagraph"/>
        <w:numPr>
          <w:ilvl w:val="0"/>
          <w:numId w:val="2"/>
        </w:numPr>
        <w:spacing w:after="40" w:before="40"/>
      </w:pPr>
      <w:r>
        <w:rPr>
          <w:rFonts w:ascii="Arial" w:cs="Arial" w:eastAsia="Arial" w:hAnsi="Arial"/>
          <w:b w:val="false"/>
          <w:bCs w:val="false"/>
          <w:sz w:val="20"/>
          <w:szCs w:val="20"/>
        </w:rPr>
        <w:t xml:space="preserve">Formula → Specialty_Flag: IF [Price] &gt; 833 THEN "Specialty" ELSE "Traditional" ENDIF</w:t>
      </w:r>
    </w:p>
    <w:p>
      <w:r>
        <w:t xml:space="preserve"/>
      </w:r>
    </w:p>
    <w:p>
      <w:pPr>
        <w:spacing w:after="80" w:before="180"/>
      </w:pPr>
      <w:r>
        <w:rPr>
          <w:rFonts w:ascii="Arial" w:cs="Arial" w:eastAsia="Arial" w:hAnsi="Arial"/>
          <w:b/>
          <w:bCs/>
          <w:color w:val="2E5FA3"/>
          <w:sz w:val="22"/>
          <w:szCs w:val="22"/>
        </w:rPr>
        <w:t xml:space="preserve">Step 08 — Standardize all date columns</w:t>
      </w:r>
    </w:p>
    <w:p>
      <w:pPr>
        <w:pStyle w:val="ListParagraph"/>
        <w:numPr>
          <w:ilvl w:val="0"/>
          <w:numId w:val="2"/>
        </w:numPr>
        <w:spacing w:after="40" w:before="40"/>
      </w:pPr>
      <w:r>
        <w:rPr>
          <w:rFonts w:ascii="Arial" w:cs="Arial" w:eastAsia="Arial" w:hAnsi="Arial"/>
          <w:b w:val="false"/>
          <w:bCs w:val="false"/>
          <w:sz w:val="20"/>
          <w:szCs w:val="20"/>
        </w:rPr>
        <w:t xml:space="preserve">DateTime tool on every stream → Output format: yyyy-MM-dd</w:t>
      </w:r>
    </w:p>
    <w:p>
      <w:pPr>
        <w:pStyle w:val="ListParagraph"/>
        <w:numPr>
          <w:ilvl w:val="0"/>
          <w:numId w:val="2"/>
        </w:numPr>
        <w:spacing w:after="40" w:before="40"/>
      </w:pPr>
      <w:r>
        <w:rPr>
          <w:rFonts w:ascii="Arial" w:cs="Arial" w:eastAsia="Arial" w:hAnsi="Arial"/>
          <w:b w:val="false"/>
          <w:bCs w:val="false"/>
          <w:sz w:val="20"/>
          <w:szCs w:val="20"/>
        </w:rPr>
        <w:t xml:space="preserve">ASP quarterly data: Formula → derive Period_Date from Quarter field (Q1=01-01, Q2=04-01, Q3=07-01, Q4=10-01)</w:t>
      </w:r>
    </w:p>
    <w:p>
      <w:pPr>
        <w:pStyle w:val="ListParagraph"/>
        <w:numPr>
          <w:ilvl w:val="0"/>
          <w:numId w:val="2"/>
        </w:numPr>
        <w:spacing w:after="40" w:before="40"/>
      </w:pPr>
      <w:r>
        <w:rPr>
          <w:rFonts w:ascii="Arial" w:cs="Arial" w:eastAsia="Arial" w:hAnsi="Arial"/>
          <w:b w:val="false"/>
          <w:bCs w:val="false"/>
          <w:sz w:val="20"/>
          <w:szCs w:val="20"/>
        </w:rPr>
        <w:t xml:space="preserve">Create Year column and Quarter_Num column (1-4) separately</w:t>
      </w:r>
    </w:p>
    <w:p>
      <w:pPr>
        <w:pStyle w:val="ListParagraph"/>
        <w:numPr>
          <w:ilvl w:val="0"/>
          <w:numId w:val="2"/>
        </w:numPr>
        <w:spacing w:after="40" w:before="40"/>
      </w:pPr>
      <w:r>
        <w:rPr>
          <w:rFonts w:ascii="Arial" w:cs="Arial" w:eastAsia="Arial" w:hAnsi="Arial"/>
          <w:b w:val="false"/>
          <w:bCs w:val="false"/>
          <w:sz w:val="20"/>
          <w:szCs w:val="20"/>
        </w:rPr>
        <w:t xml:space="preserve">PPI monthly: DateTime → parse to date → Formula → create Year_Month in YYYY-MM format</w:t>
      </w:r>
    </w:p>
    <w:p>
      <w:r>
        <w:t xml:space="preserve"/>
      </w:r>
    </w:p>
    <w:p>
      <w:pPr>
        <w:pStyle w:val="Heading2"/>
        <w:spacing w:after="120" w:before="240"/>
      </w:pPr>
      <w:r>
        <w:rPr>
          <w:rFonts w:ascii="Arial" w:cs="Arial" w:eastAsia="Arial" w:hAnsi="Arial"/>
          <w:b/>
          <w:bCs/>
          <w:color w:val="2E5FA3"/>
          <w:sz w:val="26"/>
          <w:szCs w:val="26"/>
        </w:rPr>
        <w:t xml:space="preserve">Phase D — Enrich with Calculated Metrics</w:t>
      </w:r>
    </w:p>
    <w:p>
      <w:r>
        <w:t xml:space="preserve"/>
      </w:r>
    </w:p>
    <w:p>
      <w:pPr>
        <w:spacing w:after="80" w:before="180"/>
      </w:pPr>
      <w:r>
        <w:rPr>
          <w:rFonts w:ascii="Arial" w:cs="Arial" w:eastAsia="Arial" w:hAnsi="Arial"/>
          <w:b/>
          <w:bCs/>
          <w:color w:val="2E5FA3"/>
          <w:sz w:val="22"/>
          <w:szCs w:val="22"/>
        </w:rPr>
        <w:t xml:space="preserve">Step 09 — Join PPI and calculate inflation-adjusted prices</w:t>
      </w:r>
    </w:p>
    <w:p>
      <w:pPr>
        <w:pStyle w:val="ListParagraph"/>
        <w:numPr>
          <w:ilvl w:val="0"/>
          <w:numId w:val="2"/>
        </w:numPr>
        <w:spacing w:after="40" w:before="40"/>
      </w:pPr>
      <w:r>
        <w:rPr>
          <w:rFonts w:ascii="Arial" w:cs="Arial" w:eastAsia="Arial" w:hAnsi="Arial"/>
          <w:b w:val="false"/>
          <w:bCs w:val="false"/>
          <w:sz w:val="20"/>
          <w:szCs w:val="20"/>
        </w:rPr>
        <w:t xml:space="preserve">Formula tool on PPI stream → create Quarter_Key: map months to quarters (Jan=Q1, Apr=Q2, Jul=Q3, Oct=Q4)</w:t>
      </w:r>
    </w:p>
    <w:p>
      <w:pPr>
        <w:pStyle w:val="ListParagraph"/>
        <w:numPr>
          <w:ilvl w:val="0"/>
          <w:numId w:val="2"/>
        </w:numPr>
        <w:spacing w:after="40" w:before="40"/>
      </w:pPr>
      <w:r>
        <w:rPr>
          <w:rFonts w:ascii="Arial" w:cs="Arial" w:eastAsia="Arial" w:hAnsi="Arial"/>
          <w:b w:val="false"/>
          <w:bCs w:val="false"/>
          <w:sz w:val="20"/>
          <w:szCs w:val="20"/>
        </w:rPr>
        <w:t xml:space="preserve">Join tool: ASP (L) + PPI (R) → join on Year + Quarter_Num → Left Join</w:t>
      </w:r>
    </w:p>
    <w:p>
      <w:pPr>
        <w:pStyle w:val="ListParagraph"/>
        <w:numPr>
          <w:ilvl w:val="0"/>
          <w:numId w:val="2"/>
        </w:numPr>
        <w:spacing w:after="40" w:before="40"/>
      </w:pPr>
      <w:r>
        <w:rPr>
          <w:rFonts w:ascii="Arial" w:cs="Arial" w:eastAsia="Arial" w:hAnsi="Arial"/>
          <w:b w:val="false"/>
          <w:bCs w:val="false"/>
          <w:sz w:val="20"/>
          <w:szCs w:val="20"/>
        </w:rPr>
        <w:t xml:space="preserve">Formula → ASP_Inflation_Adj = [ASP_Price] / ([PPI_Base100] / 100)</w:t>
      </w:r>
    </w:p>
    <w:p>
      <w:pPr>
        <w:pStyle w:val="ListParagraph"/>
        <w:numPr>
          <w:ilvl w:val="0"/>
          <w:numId w:val="2"/>
        </w:numPr>
        <w:spacing w:after="40" w:before="40"/>
      </w:pPr>
      <w:r>
        <w:rPr>
          <w:rFonts w:ascii="Arial" w:cs="Arial" w:eastAsia="Arial" w:hAnsi="Arial"/>
          <w:b w:val="false"/>
          <w:bCs w:val="false"/>
          <w:sz w:val="20"/>
          <w:szCs w:val="20"/>
        </w:rPr>
        <w:t xml:space="preserve">Formula → Real_Price_Change = [ASP_Inflation_Adj] - [ASP_Price]</w:t>
      </w:r>
    </w:p>
    <w:p>
      <w:r>
        <w:t xml:space="preserve"/>
      </w:r>
    </w:p>
    <w:p>
      <w:pPr>
        <w:spacing w:after="80" w:before="180"/>
      </w:pPr>
      <w:r>
        <w:rPr>
          <w:rFonts w:ascii="Arial" w:cs="Arial" w:eastAsia="Arial" w:hAnsi="Arial"/>
          <w:b/>
          <w:bCs/>
          <w:color w:val="2E5FA3"/>
          <w:sz w:val="22"/>
          <w:szCs w:val="22"/>
        </w:rPr>
        <w:t xml:space="preserve">Step 10 — Calculate YoY price change % using Multi-Row Formula</w:t>
      </w:r>
    </w:p>
    <w:p>
      <w:pPr>
        <w:pStyle w:val="ListParagraph"/>
        <w:numPr>
          <w:ilvl w:val="0"/>
          <w:numId w:val="2"/>
        </w:numPr>
        <w:spacing w:after="40" w:before="40"/>
      </w:pPr>
      <w:r>
        <w:rPr>
          <w:rFonts w:ascii="Arial" w:cs="Arial" w:eastAsia="Arial" w:hAnsi="Arial"/>
          <w:b w:val="false"/>
          <w:bCs w:val="false"/>
          <w:sz w:val="20"/>
          <w:szCs w:val="20"/>
        </w:rPr>
        <w:t xml:space="preserve">Sort tool → sort by Drug_Name ASC then Period_Date ASC (MANDATORY before Multi-Row Formula)</w:t>
      </w:r>
    </w:p>
    <w:p>
      <w:pPr>
        <w:pStyle w:val="ListParagraph"/>
        <w:numPr>
          <w:ilvl w:val="0"/>
          <w:numId w:val="2"/>
        </w:numPr>
        <w:spacing w:after="40" w:before="40"/>
      </w:pPr>
      <w:r>
        <w:rPr>
          <w:rFonts w:ascii="Arial" w:cs="Arial" w:eastAsia="Arial" w:hAnsi="Arial"/>
          <w:b w:val="false"/>
          <w:bCs w:val="false"/>
          <w:sz w:val="20"/>
          <w:szCs w:val="20"/>
        </w:rPr>
        <w:t xml:space="preserve">Multi-Row Formula → create ASP_Prior_Year: expression [Row-4:ASP_Price] → Group By: Drug_Name</w:t>
      </w:r>
    </w:p>
    <w:p>
      <w:pPr>
        <w:pStyle w:val="ListParagraph"/>
        <w:numPr>
          <w:ilvl w:val="0"/>
          <w:numId w:val="2"/>
        </w:numPr>
        <w:spacing w:after="40" w:before="40"/>
      </w:pPr>
      <w:r>
        <w:rPr>
          <w:rFonts w:ascii="Arial" w:cs="Arial" w:eastAsia="Arial" w:hAnsi="Arial"/>
          <w:b w:val="false"/>
          <w:bCs w:val="false"/>
          <w:sz w:val="20"/>
          <w:szCs w:val="20"/>
        </w:rPr>
        <w:t xml:space="preserve">Formula → YoY_Pct_Change = ([ASP_Price] - [ASP_Prior_Year]) / [ASP_Prior_Year] * 100</w:t>
      </w:r>
    </w:p>
    <w:p>
      <w:pPr>
        <w:pStyle w:val="ListParagraph"/>
        <w:numPr>
          <w:ilvl w:val="0"/>
          <w:numId w:val="2"/>
        </w:numPr>
        <w:spacing w:after="40" w:before="40"/>
      </w:pPr>
      <w:r>
        <w:rPr>
          <w:rFonts w:ascii="Arial" w:cs="Arial" w:eastAsia="Arial" w:hAnsi="Arial"/>
          <w:b w:val="false"/>
          <w:bCs w:val="false"/>
          <w:sz w:val="20"/>
          <w:szCs w:val="20"/>
        </w:rPr>
        <w:t xml:space="preserve">Formula → YoY_Direction: IF [YoY_Pct_Change] &gt; 0 THEN "Increase" ELSEIF &lt; 0 THEN "Decrease" ELSE "Flat"</w:t>
      </w:r>
    </w:p>
    <w:p>
      <w:pPr>
        <w:pStyle w:val="ListParagraph"/>
        <w:numPr>
          <w:ilvl w:val="0"/>
          <w:numId w:val="2"/>
        </w:numPr>
        <w:spacing w:after="40" w:before="40"/>
      </w:pPr>
      <w:r>
        <w:rPr>
          <w:rFonts w:ascii="Arial" w:cs="Arial" w:eastAsia="Arial" w:hAnsi="Arial"/>
          <w:b w:val="false"/>
          <w:bCs w:val="false"/>
          <w:sz w:val="20"/>
          <w:szCs w:val="20"/>
        </w:rPr>
        <w:t xml:space="preserve">Null out YoY for first 4 rows per drug (no prior year available)</w:t>
      </w:r>
    </w:p>
    <w:p>
      <w:pPr>
        <w:spacing w:after="60" w:before="60"/>
      </w:pPr>
      <w:r>
        <w:rPr>
          <w:rFonts w:ascii="Arial" w:cs="Arial" w:eastAsia="Arial" w:hAnsi="Arial"/>
          <w:i/>
          <w:iCs/>
          <w:sz w:val="20"/>
          <w:szCs w:val="20"/>
        </w:rPr>
        <w:t xml:space="preserve">CRITICAL: The Multi-Row Formula Group By option is mandatory — without it, the tool looks across drug boundaries and produces nonsense YoY values.</w:t>
      </w:r>
    </w:p>
    <w:p>
      <w:r>
        <w:t xml:space="preserve"/>
      </w:r>
    </w:p>
    <w:p>
      <w:pPr>
        <w:spacing w:after="80" w:before="180"/>
      </w:pPr>
      <w:r>
        <w:rPr>
          <w:rFonts w:ascii="Arial" w:cs="Arial" w:eastAsia="Arial" w:hAnsi="Arial"/>
          <w:b/>
          <w:bCs/>
          <w:color w:val="2E5FA3"/>
          <w:sz w:val="22"/>
          <w:szCs w:val="22"/>
        </w:rPr>
        <w:t xml:space="preserve">Step 11 — Calculate rolling 4-quarter average</w:t>
      </w:r>
    </w:p>
    <w:p>
      <w:pPr>
        <w:pStyle w:val="ListParagraph"/>
        <w:numPr>
          <w:ilvl w:val="0"/>
          <w:numId w:val="2"/>
        </w:numPr>
        <w:spacing w:after="40" w:before="40"/>
      </w:pPr>
      <w:r>
        <w:rPr>
          <w:rFonts w:ascii="Arial" w:cs="Arial" w:eastAsia="Arial" w:hAnsi="Arial"/>
          <w:b w:val="false"/>
          <w:bCs w:val="false"/>
          <w:sz w:val="20"/>
          <w:szCs w:val="20"/>
        </w:rPr>
        <w:t xml:space="preserve">Multi-Row Formula → Rolling_Avg_4Q: ([Row0:ASP_Price] + [Row-1:ASP_Price] + [Row-2:ASP_Price] + [Row-3:ASP_Price]) / 4 → Group By: Drug_Name</w:t>
      </w:r>
    </w:p>
    <w:p>
      <w:pPr>
        <w:pStyle w:val="ListParagraph"/>
        <w:numPr>
          <w:ilvl w:val="0"/>
          <w:numId w:val="2"/>
        </w:numPr>
        <w:spacing w:after="40" w:before="40"/>
      </w:pPr>
      <w:r>
        <w:rPr>
          <w:rFonts w:ascii="Arial" w:cs="Arial" w:eastAsia="Arial" w:hAnsi="Arial"/>
          <w:b w:val="false"/>
          <w:bCs w:val="false"/>
          <w:sz w:val="20"/>
          <w:szCs w:val="20"/>
        </w:rPr>
        <w:t xml:space="preserve">Null out first 3 rows per drug where window is incomplete</w:t>
      </w:r>
    </w:p>
    <w:p>
      <w:pPr>
        <w:pStyle w:val="ListParagraph"/>
        <w:numPr>
          <w:ilvl w:val="0"/>
          <w:numId w:val="2"/>
        </w:numPr>
        <w:spacing w:after="40" w:before="40"/>
      </w:pPr>
      <w:r>
        <w:rPr>
          <w:rFonts w:ascii="Arial" w:cs="Arial" w:eastAsia="Arial" w:hAnsi="Arial"/>
          <w:b w:val="false"/>
          <w:bCs w:val="false"/>
          <w:sz w:val="20"/>
          <w:szCs w:val="20"/>
        </w:rPr>
        <w:t xml:space="preserve">Formula → Price_vs_Rolling = [ASP_Price] - [Rolling_Avg_4Q]</w:t>
      </w:r>
    </w:p>
    <w:p>
      <w:r>
        <w:t xml:space="preserve"/>
      </w:r>
    </w:p>
    <w:p>
      <w:pPr>
        <w:spacing w:after="80" w:before="180"/>
      </w:pPr>
      <w:r>
        <w:rPr>
          <w:rFonts w:ascii="Arial" w:cs="Arial" w:eastAsia="Arial" w:hAnsi="Arial"/>
          <w:b/>
          <w:bCs/>
          <w:color w:val="2E5FA3"/>
          <w:sz w:val="22"/>
          <w:szCs w:val="22"/>
        </w:rPr>
        <w:t xml:space="preserve">Step 12 — Calculate price volatility index</w:t>
      </w:r>
    </w:p>
    <w:p>
      <w:pPr>
        <w:pStyle w:val="ListParagraph"/>
        <w:numPr>
          <w:ilvl w:val="0"/>
          <w:numId w:val="2"/>
        </w:numPr>
        <w:spacing w:after="40" w:before="40"/>
      </w:pPr>
      <w:r>
        <w:rPr>
          <w:rFonts w:ascii="Arial" w:cs="Arial" w:eastAsia="Arial" w:hAnsi="Arial"/>
          <w:b w:val="false"/>
          <w:bCs w:val="false"/>
          <w:sz w:val="20"/>
          <w:szCs w:val="20"/>
        </w:rPr>
        <w:t xml:space="preserve">Branch ASP stream — one path continues to main flow, one path goes to Summarize</w:t>
      </w:r>
    </w:p>
    <w:p>
      <w:pPr>
        <w:pStyle w:val="ListParagraph"/>
        <w:numPr>
          <w:ilvl w:val="0"/>
          <w:numId w:val="2"/>
        </w:numPr>
        <w:spacing w:after="40" w:before="40"/>
      </w:pPr>
      <w:r>
        <w:rPr>
          <w:rFonts w:ascii="Arial" w:cs="Arial" w:eastAsia="Arial" w:hAnsi="Arial"/>
          <w:b w:val="false"/>
          <w:bCs w:val="false"/>
          <w:sz w:val="20"/>
          <w:szCs w:val="20"/>
        </w:rPr>
        <w:t xml:space="preserve">Summarize tool → Group By: Drug_Name → Avg([ASP_Price]), StdDev([ASP_Price]), Min([ASP_Price]), Max([ASP_Price])</w:t>
      </w:r>
    </w:p>
    <w:p>
      <w:pPr>
        <w:pStyle w:val="ListParagraph"/>
        <w:numPr>
          <w:ilvl w:val="0"/>
          <w:numId w:val="2"/>
        </w:numPr>
        <w:spacing w:after="40" w:before="40"/>
      </w:pPr>
      <w:r>
        <w:rPr>
          <w:rFonts w:ascii="Arial" w:cs="Arial" w:eastAsia="Arial" w:hAnsi="Arial"/>
          <w:b w:val="false"/>
          <w:bCs w:val="false"/>
          <w:sz w:val="20"/>
          <w:szCs w:val="20"/>
        </w:rPr>
        <w:t xml:space="preserve">Formula → Volatility_CV = [StdDev_ASP_Price] / [Avg_ASP_Price] * 100</w:t>
      </w:r>
    </w:p>
    <w:p>
      <w:pPr>
        <w:pStyle w:val="ListParagraph"/>
        <w:numPr>
          <w:ilvl w:val="0"/>
          <w:numId w:val="2"/>
        </w:numPr>
        <w:spacing w:after="40" w:before="40"/>
      </w:pPr>
      <w:r>
        <w:rPr>
          <w:rFonts w:ascii="Arial" w:cs="Arial" w:eastAsia="Arial" w:hAnsi="Arial"/>
          <w:b w:val="false"/>
          <w:bCs w:val="false"/>
          <w:sz w:val="20"/>
          <w:szCs w:val="20"/>
        </w:rPr>
        <w:t xml:space="preserve">Formula → Volatility_Tier: IF [Volatility_CV] &gt; 20 THEN "High" ELSEIF &gt; 10 THEN "Medium" ELSE "Low"</w:t>
      </w:r>
    </w:p>
    <w:p>
      <w:pPr>
        <w:pStyle w:val="ListParagraph"/>
        <w:numPr>
          <w:ilvl w:val="0"/>
          <w:numId w:val="2"/>
        </w:numPr>
        <w:spacing w:after="40" w:before="40"/>
      </w:pPr>
      <w:r>
        <w:rPr>
          <w:rFonts w:ascii="Arial" w:cs="Arial" w:eastAsia="Arial" w:hAnsi="Arial"/>
          <w:b w:val="false"/>
          <w:bCs w:val="false"/>
          <w:sz w:val="20"/>
          <w:szCs w:val="20"/>
        </w:rPr>
        <w:t xml:space="preserve">Join: Summarize output + main ASP stream → join on Drug_Name → every row now has volatility score</w:t>
      </w:r>
    </w:p>
    <w:p>
      <w:r>
        <w:t xml:space="preserve"/>
      </w:r>
    </w:p>
    <w:p>
      <w:pPr>
        <w:pStyle w:val="Heading2"/>
        <w:spacing w:after="120" w:before="240"/>
      </w:pPr>
      <w:r>
        <w:rPr>
          <w:rFonts w:ascii="Arial" w:cs="Arial" w:eastAsia="Arial" w:hAnsi="Arial"/>
          <w:b/>
          <w:bCs/>
          <w:color w:val="2E5FA3"/>
          <w:sz w:val="26"/>
          <w:szCs w:val="26"/>
        </w:rPr>
        <w:t xml:space="preserve">Phase E — Join All Sources into Master Dataset</w:t>
      </w:r>
    </w:p>
    <w:p>
      <w:r>
        <w:t xml:space="preserve"/>
      </w:r>
    </w:p>
    <w:p>
      <w:pPr>
        <w:spacing w:after="80" w:before="180"/>
      </w:pPr>
      <w:r>
        <w:rPr>
          <w:rFonts w:ascii="Arial" w:cs="Arial" w:eastAsia="Arial" w:hAnsi="Arial"/>
          <w:b/>
          <w:bCs/>
          <w:color w:val="2E5FA3"/>
          <w:sz w:val="22"/>
          <w:szCs w:val="22"/>
        </w:rPr>
        <w:t xml:space="preserve">Step 13 — Join ASP + NADAC</w:t>
      </w:r>
    </w:p>
    <w:p>
      <w:pPr>
        <w:pStyle w:val="ListParagraph"/>
        <w:numPr>
          <w:ilvl w:val="0"/>
          <w:numId w:val="2"/>
        </w:numPr>
        <w:spacing w:after="40" w:before="40"/>
      </w:pPr>
      <w:r>
        <w:rPr>
          <w:rFonts w:ascii="Arial" w:cs="Arial" w:eastAsia="Arial" w:hAnsi="Arial"/>
          <w:b w:val="false"/>
          <w:bCs w:val="false"/>
          <w:sz w:val="20"/>
          <w:szCs w:val="20"/>
        </w:rPr>
        <w:t xml:space="preserve">Join tool: enriched ASP (L) + NADAC (R) → join on NDC_Clean AND Year AND Quarter_Num → Left Join</w:t>
      </w:r>
    </w:p>
    <w:p>
      <w:pPr>
        <w:pStyle w:val="ListParagraph"/>
        <w:numPr>
          <w:ilvl w:val="0"/>
          <w:numId w:val="2"/>
        </w:numPr>
        <w:spacing w:after="40" w:before="40"/>
      </w:pPr>
      <w:r>
        <w:rPr>
          <w:rFonts w:ascii="Arial" w:cs="Arial" w:eastAsia="Arial" w:hAnsi="Arial"/>
          <w:b w:val="false"/>
          <w:bCs w:val="false"/>
          <w:sz w:val="20"/>
          <w:szCs w:val="20"/>
        </w:rPr>
        <w:t xml:space="preserve">Formula → WAC_ASP_Gap = [NADAC_Price] - [ASP_Price]</w:t>
      </w:r>
    </w:p>
    <w:p>
      <w:pPr>
        <w:pStyle w:val="ListParagraph"/>
        <w:numPr>
          <w:ilvl w:val="0"/>
          <w:numId w:val="2"/>
        </w:numPr>
        <w:spacing w:after="40" w:before="40"/>
      </w:pPr>
      <w:r>
        <w:rPr>
          <w:rFonts w:ascii="Arial" w:cs="Arial" w:eastAsia="Arial" w:hAnsi="Arial"/>
          <w:b w:val="false"/>
          <w:bCs w:val="false"/>
          <w:sz w:val="20"/>
          <w:szCs w:val="20"/>
        </w:rPr>
        <w:t xml:space="preserve">Formula → Brand_Premium = IF [Drug_Type]="Brand" AND !IsNull([Generic_NADAC]) THEN [ASP_Price] / [Generic_NADAC] ELSE Null()</w:t>
      </w:r>
    </w:p>
    <w:p>
      <w:pPr>
        <w:pStyle w:val="ListParagraph"/>
        <w:numPr>
          <w:ilvl w:val="0"/>
          <w:numId w:val="2"/>
        </w:numPr>
        <w:spacing w:after="40" w:before="40"/>
      </w:pPr>
      <w:r>
        <w:rPr>
          <w:rFonts w:ascii="Arial" w:cs="Arial" w:eastAsia="Arial" w:hAnsi="Arial"/>
          <w:b w:val="false"/>
          <w:bCs w:val="false"/>
          <w:sz w:val="20"/>
          <w:szCs w:val="20"/>
        </w:rPr>
        <w:t xml:space="preserve">Select tool → drop duplicate columns from join, keep clean versions</w:t>
      </w:r>
    </w:p>
    <w:p>
      <w:r>
        <w:t xml:space="preserve"/>
      </w:r>
    </w:p>
    <w:p>
      <w:pPr>
        <w:spacing w:after="80" w:before="180"/>
      </w:pPr>
      <w:r>
        <w:rPr>
          <w:rFonts w:ascii="Arial" w:cs="Arial" w:eastAsia="Arial" w:hAnsi="Arial"/>
          <w:b/>
          <w:bCs/>
          <w:color w:val="2E5FA3"/>
          <w:sz w:val="22"/>
          <w:szCs w:val="22"/>
        </w:rPr>
        <w:t xml:space="preserve">Step 14 — Join FDA approvals and Orange Book</w:t>
      </w:r>
    </w:p>
    <w:p>
      <w:pPr>
        <w:pStyle w:val="ListParagraph"/>
        <w:numPr>
          <w:ilvl w:val="0"/>
          <w:numId w:val="2"/>
        </w:numPr>
        <w:spacing w:after="40" w:before="40"/>
      </w:pPr>
      <w:r>
        <w:rPr>
          <w:rFonts w:ascii="Arial" w:cs="Arial" w:eastAsia="Arial" w:hAnsi="Arial"/>
          <w:b w:val="false"/>
          <w:bCs w:val="false"/>
          <w:sz w:val="20"/>
          <w:szCs w:val="20"/>
        </w:rPr>
        <w:t xml:space="preserve">Join: previous stream (L) + FDA CDER (R) → join on Drug_Name_Clean → Left Join → adds Approval_Date, Manufacturer, Indication, NDA_Number</w:t>
      </w:r>
    </w:p>
    <w:p>
      <w:pPr>
        <w:pStyle w:val="ListParagraph"/>
        <w:numPr>
          <w:ilvl w:val="0"/>
          <w:numId w:val="2"/>
        </w:numPr>
        <w:spacing w:after="40" w:before="40"/>
      </w:pPr>
      <w:r>
        <w:rPr>
          <w:rFonts w:ascii="Arial" w:cs="Arial" w:eastAsia="Arial" w:hAnsi="Arial"/>
          <w:b w:val="false"/>
          <w:bCs w:val="false"/>
          <w:sz w:val="20"/>
          <w:szCs w:val="20"/>
        </w:rPr>
        <w:t xml:space="preserve">Second join: result (L) + Orange Book (R) → join on NDA_Number → Left Join → adds Patent_Expiry_Date, Exclusivity_Date</w:t>
      </w:r>
    </w:p>
    <w:p>
      <w:pPr>
        <w:pStyle w:val="ListParagraph"/>
        <w:numPr>
          <w:ilvl w:val="0"/>
          <w:numId w:val="2"/>
        </w:numPr>
        <w:spacing w:after="40" w:before="40"/>
      </w:pPr>
      <w:r>
        <w:rPr>
          <w:rFonts w:ascii="Arial" w:cs="Arial" w:eastAsia="Arial" w:hAnsi="Arial"/>
          <w:b w:val="false"/>
          <w:bCs w:val="false"/>
          <w:sz w:val="20"/>
          <w:szCs w:val="20"/>
        </w:rPr>
        <w:t xml:space="preserve">Formula → Months_to_Expiry = DateTimeDiff(DateTimeNow(), [Patent_Expiry_Date], "months")</w:t>
      </w:r>
    </w:p>
    <w:p>
      <w:pPr>
        <w:pStyle w:val="ListParagraph"/>
        <w:numPr>
          <w:ilvl w:val="0"/>
          <w:numId w:val="2"/>
        </w:numPr>
        <w:spacing w:after="40" w:before="40"/>
      </w:pPr>
      <w:r>
        <w:rPr>
          <w:rFonts w:ascii="Arial" w:cs="Arial" w:eastAsia="Arial" w:hAnsi="Arial"/>
          <w:b w:val="false"/>
          <w:bCs w:val="false"/>
          <w:sz w:val="20"/>
          <w:szCs w:val="20"/>
        </w:rPr>
        <w:t xml:space="preserve">Formula → Patent_Cliff_Risk: IF [Months_to_Expiry] &lt; 24 THEN "High" ELSEIF &lt; 48 THEN "Medium" ELSE "Low"</w:t>
      </w:r>
    </w:p>
    <w:p>
      <w:pPr>
        <w:pStyle w:val="ListParagraph"/>
        <w:numPr>
          <w:ilvl w:val="0"/>
          <w:numId w:val="2"/>
        </w:numPr>
        <w:spacing w:after="40" w:before="40"/>
      </w:pPr>
      <w:r>
        <w:rPr>
          <w:rFonts w:ascii="Arial" w:cs="Arial" w:eastAsia="Arial" w:hAnsi="Arial"/>
          <w:b w:val="false"/>
          <w:bCs w:val="false"/>
          <w:sz w:val="20"/>
          <w:szCs w:val="20"/>
        </w:rPr>
        <w:t xml:space="preserve">Select tool → final column reorder: ID columns first, prices, calculated metrics, classifications last</w:t>
      </w:r>
    </w:p>
    <w:p>
      <w:r>
        <w:t xml:space="preserve"/>
      </w:r>
    </w:p>
    <w:p>
      <w:pPr>
        <w:pStyle w:val="Heading2"/>
        <w:spacing w:after="120" w:before="240"/>
      </w:pPr>
      <w:r>
        <w:rPr>
          <w:rFonts w:ascii="Arial" w:cs="Arial" w:eastAsia="Arial" w:hAnsi="Arial"/>
          <w:b/>
          <w:bCs/>
          <w:color w:val="2E5FA3"/>
          <w:sz w:val="26"/>
          <w:szCs w:val="26"/>
        </w:rPr>
        <w:t xml:space="preserve">Phase F — Load Outputs</w:t>
      </w:r>
    </w:p>
    <w:p>
      <w:r>
        <w:t xml:space="preserve"/>
      </w:r>
    </w:p>
    <w:p>
      <w:pPr>
        <w:spacing w:after="80" w:before="180"/>
      </w:pPr>
      <w:r>
        <w:rPr>
          <w:rFonts w:ascii="Arial" w:cs="Arial" w:eastAsia="Arial" w:hAnsi="Arial"/>
          <w:b/>
          <w:bCs/>
          <w:color w:val="2E5FA3"/>
          <w:sz w:val="22"/>
          <w:szCs w:val="22"/>
        </w:rPr>
        <w:t xml:space="preserve">Step 15 — Output master dataset and 5 analytical tabs to Excel</w:t>
      </w:r>
    </w:p>
    <w:p>
      <w:pPr>
        <w:pStyle w:val="ListParagraph"/>
        <w:numPr>
          <w:ilvl w:val="0"/>
          <w:numId w:val="2"/>
        </w:numPr>
        <w:spacing w:after="40" w:before="40"/>
      </w:pPr>
      <w:r>
        <w:rPr>
          <w:rFonts w:ascii="Arial" w:cs="Arial" w:eastAsia="Arial" w:hAnsi="Arial"/>
          <w:b w:val="false"/>
          <w:bCs w:val="false"/>
          <w:sz w:val="20"/>
          <w:szCs w:val="20"/>
        </w:rPr>
        <w:t xml:space="preserve">Branch 1 → Master_Data sheet: full master stream → Output Data → pharma_pricing_master.xlsx → sheet "Master_Data"</w:t>
      </w:r>
    </w:p>
    <w:p>
      <w:pPr>
        <w:pStyle w:val="ListParagraph"/>
        <w:numPr>
          <w:ilvl w:val="0"/>
          <w:numId w:val="2"/>
        </w:numPr>
        <w:spacing w:after="40" w:before="40"/>
      </w:pPr>
      <w:r>
        <w:rPr>
          <w:rFonts w:ascii="Arial" w:cs="Arial" w:eastAsia="Arial" w:hAnsi="Arial"/>
          <w:b w:val="false"/>
          <w:bCs w:val="false"/>
          <w:sz w:val="20"/>
          <w:szCs w:val="20"/>
        </w:rPr>
        <w:t xml:space="preserve">Branch 2 → ASP_Trends sheet: Select (ASP price columns + metrics only) → sheet "ASP_Trends"</w:t>
      </w:r>
    </w:p>
    <w:p>
      <w:pPr>
        <w:pStyle w:val="ListParagraph"/>
        <w:numPr>
          <w:ilvl w:val="0"/>
          <w:numId w:val="2"/>
        </w:numPr>
        <w:spacing w:after="40" w:before="40"/>
      </w:pPr>
      <w:r>
        <w:rPr>
          <w:rFonts w:ascii="Arial" w:cs="Arial" w:eastAsia="Arial" w:hAnsi="Arial"/>
          <w:b w:val="false"/>
          <w:bCs w:val="false"/>
          <w:sz w:val="20"/>
          <w:szCs w:val="20"/>
        </w:rPr>
        <w:t xml:space="preserve">Branch 3 → NADAC_Retail sheet: Filter where !IsNull([NADAC_Price]) → Select → sheet "NADAC_Retail"</w:t>
      </w:r>
    </w:p>
    <w:p>
      <w:pPr>
        <w:pStyle w:val="ListParagraph"/>
        <w:numPr>
          <w:ilvl w:val="0"/>
          <w:numId w:val="2"/>
        </w:numPr>
        <w:spacing w:after="40" w:before="40"/>
      </w:pPr>
      <w:r>
        <w:rPr>
          <w:rFonts w:ascii="Arial" w:cs="Arial" w:eastAsia="Arial" w:hAnsi="Arial"/>
          <w:b w:val="false"/>
          <w:bCs w:val="false"/>
          <w:sz w:val="20"/>
          <w:szCs w:val="20"/>
        </w:rPr>
        <w:t xml:space="preserve">Branch 4 → FDA_Approvals sheet: Select FDA columns → Unique on Drug_Name → sheet "FDA_Approvals"</w:t>
      </w:r>
    </w:p>
    <w:p>
      <w:pPr>
        <w:pStyle w:val="ListParagraph"/>
        <w:numPr>
          <w:ilvl w:val="0"/>
          <w:numId w:val="2"/>
        </w:numPr>
        <w:spacing w:after="40" w:before="40"/>
      </w:pPr>
      <w:r>
        <w:rPr>
          <w:rFonts w:ascii="Arial" w:cs="Arial" w:eastAsia="Arial" w:hAnsi="Arial"/>
          <w:b w:val="false"/>
          <w:bCs w:val="false"/>
          <w:sz w:val="20"/>
          <w:szCs w:val="20"/>
        </w:rPr>
        <w:t xml:space="preserve">Branch 5 → PPI_Index sheet: PPI source stream → sheet "PPI_Index"</w:t>
      </w:r>
    </w:p>
    <w:p>
      <w:pPr>
        <w:pStyle w:val="ListParagraph"/>
        <w:numPr>
          <w:ilvl w:val="0"/>
          <w:numId w:val="2"/>
        </w:numPr>
        <w:spacing w:after="40" w:before="40"/>
      </w:pPr>
      <w:r>
        <w:rPr>
          <w:rFonts w:ascii="Arial" w:cs="Arial" w:eastAsia="Arial" w:hAnsi="Arial"/>
          <w:b w:val="false"/>
          <w:bCs w:val="false"/>
          <w:sz w:val="20"/>
          <w:szCs w:val="20"/>
        </w:rPr>
        <w:t xml:space="preserve">Branch 6 → Metrics_Summary sheet: Summarize → Group by Drug_Name + Therapeutic_Area → Avg YoY%, Avg CV, Min/Max Price → sheet "Metrics_Summary"</w:t>
      </w:r>
    </w:p>
    <w:p>
      <w:pPr>
        <w:pStyle w:val="ListParagraph"/>
        <w:numPr>
          <w:ilvl w:val="0"/>
          <w:numId w:val="2"/>
        </w:numPr>
        <w:spacing w:after="40" w:before="40"/>
      </w:pPr>
      <w:r>
        <w:rPr>
          <w:rFonts w:ascii="Arial" w:cs="Arial" w:eastAsia="Arial" w:hAnsi="Arial"/>
          <w:b w:val="false"/>
          <w:bCs w:val="false"/>
          <w:sz w:val="20"/>
          <w:szCs w:val="20"/>
        </w:rPr>
        <w:t xml:space="preserve">Output Data setting: "Overwrite sheet if exists" — makes workflow safely re-runnable every quarter</w:t>
      </w:r>
    </w:p>
    <w:p>
      <w:r>
        <w:t xml:space="preserve"/>
      </w:r>
    </w:p>
    <w:p>
      <w:pPr>
        <w:spacing w:after="80" w:before="180"/>
      </w:pPr>
      <w:r>
        <w:rPr>
          <w:rFonts w:ascii="Arial" w:cs="Arial" w:eastAsia="Arial" w:hAnsi="Arial"/>
          <w:b/>
          <w:bCs/>
          <w:color w:val="2E5FA3"/>
          <w:sz w:val="22"/>
          <w:szCs w:val="22"/>
        </w:rPr>
        <w:t xml:space="preserve">Step 16 — Add error logging stream</w:t>
      </w:r>
    </w:p>
    <w:p>
      <w:pPr>
        <w:pStyle w:val="ListParagraph"/>
        <w:numPr>
          <w:ilvl w:val="0"/>
          <w:numId w:val="2"/>
        </w:numPr>
        <w:spacing w:after="40" w:before="40"/>
      </w:pPr>
      <w:r>
        <w:rPr>
          <w:rFonts w:ascii="Arial" w:cs="Arial" w:eastAsia="Arial" w:hAnsi="Arial"/>
          <w:b w:val="false"/>
          <w:bCs w:val="false"/>
          <w:sz w:val="20"/>
          <w:szCs w:val="20"/>
        </w:rPr>
        <w:t xml:space="preserve">Every Filter tool has a False output — connect all into a Union tool</w:t>
      </w:r>
    </w:p>
    <w:p>
      <w:pPr>
        <w:pStyle w:val="ListParagraph"/>
        <w:numPr>
          <w:ilvl w:val="0"/>
          <w:numId w:val="2"/>
        </w:numPr>
        <w:spacing w:after="40" w:before="40"/>
      </w:pPr>
      <w:r>
        <w:rPr>
          <w:rFonts w:ascii="Arial" w:cs="Arial" w:eastAsia="Arial" w:hAnsi="Arial"/>
          <w:b w:val="false"/>
          <w:bCs w:val="false"/>
          <w:sz w:val="20"/>
          <w:szCs w:val="20"/>
        </w:rPr>
        <w:t xml:space="preserve">Formula → add Rejection_Reason column before each Union input: "Invalid NDC", "Zero price", etc.</w:t>
      </w:r>
    </w:p>
    <w:p>
      <w:pPr>
        <w:pStyle w:val="ListParagraph"/>
        <w:numPr>
          <w:ilvl w:val="0"/>
          <w:numId w:val="2"/>
        </w:numPr>
        <w:spacing w:after="40" w:before="40"/>
      </w:pPr>
      <w:r>
        <w:rPr>
          <w:rFonts w:ascii="Arial" w:cs="Arial" w:eastAsia="Arial" w:hAnsi="Arial"/>
          <w:b w:val="false"/>
          <w:bCs w:val="false"/>
          <w:sz w:val="20"/>
          <w:szCs w:val="20"/>
        </w:rPr>
        <w:t xml:space="preserve">Formula → add Log_Timestamp = DateTimeNow() to every rejection row</w:t>
      </w:r>
    </w:p>
    <w:p>
      <w:pPr>
        <w:pStyle w:val="ListParagraph"/>
        <w:numPr>
          <w:ilvl w:val="0"/>
          <w:numId w:val="2"/>
        </w:numPr>
        <w:spacing w:after="40" w:before="40"/>
      </w:pPr>
      <w:r>
        <w:rPr>
          <w:rFonts w:ascii="Arial" w:cs="Arial" w:eastAsia="Arial" w:hAnsi="Arial"/>
          <w:b w:val="false"/>
          <w:bCs w:val="false"/>
          <w:sz w:val="20"/>
          <w:szCs w:val="20"/>
        </w:rPr>
        <w:t xml:space="preserve">Output Data → error_log.xlsx → "Append to existing sheet" (builds history across runs)</w:t>
      </w:r>
    </w:p>
    <w:p>
      <w:pPr>
        <w:pStyle w:val="ListParagraph"/>
        <w:numPr>
          <w:ilvl w:val="0"/>
          <w:numId w:val="2"/>
        </w:numPr>
        <w:spacing w:after="40" w:before="40"/>
      </w:pPr>
      <w:r>
        <w:rPr>
          <w:rFonts w:ascii="Arial" w:cs="Arial" w:eastAsia="Arial" w:hAnsi="Arial"/>
          <w:b w:val="false"/>
          <w:bCs w:val="false"/>
          <w:sz w:val="20"/>
          <w:szCs w:val="20"/>
        </w:rPr>
        <w:t xml:space="preserve">Count Rows before each Output Data → these row counts become pipeline health metrics</w:t>
      </w:r>
    </w:p>
    <w:p>
      <w:r>
        <w:t xml:space="preserve"/>
      </w:r>
    </w:p>
    <w:p>
      <w:pPr>
        <w:spacing w:after="80" w:before="180"/>
      </w:pPr>
      <w:r>
        <w:rPr>
          <w:rFonts w:ascii="Arial" w:cs="Arial" w:eastAsia="Arial" w:hAnsi="Arial"/>
          <w:b/>
          <w:bCs/>
          <w:color w:val="2E5FA3"/>
          <w:sz w:val="22"/>
          <w:szCs w:val="22"/>
        </w:rPr>
        <w:t xml:space="preserve">Step 17 — Schedule and test the full workflow</w:t>
      </w:r>
    </w:p>
    <w:p>
      <w:pPr>
        <w:pStyle w:val="ListParagraph"/>
        <w:numPr>
          <w:ilvl w:val="0"/>
          <w:numId w:val="2"/>
        </w:numPr>
        <w:spacing w:after="40" w:before="40"/>
      </w:pPr>
      <w:r>
        <w:rPr>
          <w:rFonts w:ascii="Arial" w:cs="Arial" w:eastAsia="Arial" w:hAnsi="Arial"/>
          <w:b w:val="false"/>
          <w:bCs w:val="false"/>
          <w:sz w:val="20"/>
          <w:szCs w:val="20"/>
        </w:rPr>
        <w:t xml:space="preserve">Designer Cloud → Schedule button (top right) → Quarterly trigger (first week of Jan, Apr, Jul, Oct)</w:t>
      </w:r>
    </w:p>
    <w:p>
      <w:pPr>
        <w:pStyle w:val="ListParagraph"/>
        <w:numPr>
          <w:ilvl w:val="0"/>
          <w:numId w:val="2"/>
        </w:numPr>
        <w:spacing w:after="40" w:before="40"/>
      </w:pPr>
      <w:r>
        <w:rPr>
          <w:rFonts w:ascii="Arial" w:cs="Arial" w:eastAsia="Arial" w:hAnsi="Arial"/>
          <w:b w:val="false"/>
          <w:bCs w:val="false"/>
          <w:sz w:val="20"/>
          <w:szCs w:val="20"/>
        </w:rPr>
        <w:t xml:space="preserve">Set email notification: success summary + failure alert</w:t>
      </w:r>
    </w:p>
    <w:p>
      <w:pPr>
        <w:pStyle w:val="ListParagraph"/>
        <w:numPr>
          <w:ilvl w:val="0"/>
          <w:numId w:val="2"/>
        </w:numPr>
        <w:spacing w:after="40" w:before="40"/>
      </w:pPr>
      <w:r>
        <w:rPr>
          <w:rFonts w:ascii="Arial" w:cs="Arial" w:eastAsia="Arial" w:hAnsi="Arial"/>
          <w:b w:val="false"/>
          <w:bCs w:val="false"/>
          <w:sz w:val="20"/>
          <w:szCs w:val="20"/>
        </w:rPr>
        <w:t xml:space="preserve">Full test: delete all output files → upload fresh raw source files → click Run → verify all 6 Excel tabs</w:t>
      </w:r>
    </w:p>
    <w:p>
      <w:pPr>
        <w:pStyle w:val="ListParagraph"/>
        <w:numPr>
          <w:ilvl w:val="0"/>
          <w:numId w:val="2"/>
        </w:numPr>
        <w:spacing w:after="40" w:before="40"/>
      </w:pPr>
      <w:r>
        <w:rPr>
          <w:rFonts w:ascii="Arial" w:cs="Arial" w:eastAsia="Arial" w:hAnsi="Arial"/>
          <w:b w:val="false"/>
          <w:bCs w:val="false"/>
          <w:sz w:val="20"/>
          <w:szCs w:val="20"/>
        </w:rPr>
        <w:t xml:space="preserve">Check error_log.xlsx → verify rejected rows are captured correctly</w:t>
      </w:r>
    </w:p>
    <w:p>
      <w:pPr>
        <w:pStyle w:val="ListParagraph"/>
        <w:numPr>
          <w:ilvl w:val="0"/>
          <w:numId w:val="2"/>
        </w:numPr>
        <w:spacing w:after="40" w:before="40"/>
      </w:pPr>
      <w:r>
        <w:rPr>
          <w:rFonts w:ascii="Arial" w:cs="Arial" w:eastAsia="Arial" w:hAnsi="Arial"/>
          <w:b w:val="false"/>
          <w:bCs w:val="false"/>
          <w:sz w:val="20"/>
          <w:szCs w:val="20"/>
        </w:rPr>
        <w:t xml:space="preserve">Document effort reduction: manual process ~5 hours/quarter, automated ~15 min upload + 12 min runtime = 40% reduction conservative claim</w:t>
      </w:r>
    </w:p>
    <w:p>
      <w:pPr>
        <w:pStyle w:val="ListParagraph"/>
        <w:numPr>
          <w:ilvl w:val="0"/>
          <w:numId w:val="2"/>
        </w:numPr>
        <w:spacing w:after="40" w:before="40"/>
      </w:pPr>
      <w:r>
        <w:rPr>
          <w:rFonts w:ascii="Arial" w:cs="Arial" w:eastAsia="Arial" w:hAnsi="Arial"/>
          <w:b w:val="false"/>
          <w:bCs w:val="false"/>
          <w:sz w:val="20"/>
          <w:szCs w:val="20"/>
        </w:rPr>
        <w:t xml:space="preserve">Screenshot the full canvas — best portfolio visual for interviews</w:t>
      </w:r>
    </w:p>
    <w:p>
      <w:r>
        <w:t xml:space="preserve"/>
      </w:r>
    </w:p>
    <w:p>
      <w:pPr>
        <w:pBdr>
          <w:bottom w:val="single" w:color="CCCCCC" w:sz="4" w:space="1"/>
        </w:pBdr>
        <w:spacing w:after="120" w:before="120"/>
      </w:pPr>
    </w:p>
    <w:p>
      <w:r>
        <w:t xml:space="preserve"/>
      </w:r>
    </w:p>
    <w:p>
      <w:pPr>
        <w:pStyle w:val="Heading1"/>
        <w:spacing w:after="160" w:before="320"/>
      </w:pPr>
      <w:r>
        <w:rPr>
          <w:rFonts w:ascii="Arial" w:cs="Arial" w:eastAsia="Arial" w:hAnsi="Arial"/>
          <w:b/>
          <w:bCs/>
          <w:color w:val="1F3864"/>
          <w:sz w:val="32"/>
          <w:szCs w:val="32"/>
        </w:rPr>
        <w:t xml:space="preserve">6. Alteryx Designer Cloud — Tool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Used for</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 Data</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Reading uploaded CSV files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02</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 Input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Manual lookup tables and lists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02, 06</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Cleanse Pro</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Nulls, whitespace, capitalization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03, 04</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Filter</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 vs invalid row separation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03, 04, 15</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Deduplication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03</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 Rows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QA evidence and pipeline health</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03, 04, 16</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Formula</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calculated columns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05-15</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Select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Rename, reorder, drop columns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05, 07, 14, 15</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Replace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Drug name standardization vs lookup</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06</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Fuzzy Match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Catch remaining name variants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06</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Merging streams on a key field</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07, 09, 12, 13, 14</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DateTime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Parsing and standardizing dates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04, 08</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Sort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Pre-sort before Multi-Row Formula</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Multi-Row Formula</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Lag/lead (prior year price, rolling avg)</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10, 11</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Running Total</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Cumulative sums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11 (alternative)</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Summarize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Avg, StdDev for volatility + metrics tab</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12, 15</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Union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Stack streams vertically</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02, 16</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 Data</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Write to Excel tabs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15, 16</w:t>
            </w:r>
          </w:p>
        </w:tc>
      </w:tr>
    </w:tbl>
    <w:p>
      <w:r>
        <w:t xml:space="preserve"/>
      </w:r>
    </w:p>
    <w:p>
      <w:pPr>
        <w:pBdr>
          <w:bottom w:val="single" w:color="CCCCCC" w:sz="4" w:space="1"/>
        </w:pBdr>
        <w:spacing w:after="120" w:before="120"/>
      </w:pPr>
    </w:p>
    <w:p>
      <w:r>
        <w:t xml:space="preserve"/>
      </w:r>
    </w:p>
    <w:p>
      <w:pPr>
        <w:pStyle w:val="Heading1"/>
        <w:spacing w:after="160" w:before="320"/>
      </w:pPr>
      <w:r>
        <w:rPr>
          <w:rFonts w:ascii="Arial" w:cs="Arial" w:eastAsia="Arial" w:hAnsi="Arial"/>
          <w:b/>
          <w:bCs/>
          <w:color w:val="1F3864"/>
          <w:sz w:val="32"/>
          <w:szCs w:val="32"/>
        </w:rPr>
        <w:t xml:space="preserve">7. Final Deliverables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pharma_pricing_master.xlsx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6-tab Excel workbook: Master_Data, ASP_Trends, NADAC_Retail, FDA_Approvals, PPI_Index, Metrics_Summary</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error_log.xlsx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Timestamped audit trail of every rejected row across all pipeline runs</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pharma_etl_pipeline.yxmd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Alteryx Cloud workflow file — the pipeline itself</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pharma_pipeline_monitor.pbix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BI operational dashboard: row counts, last run date, null rates, pricing snapshot</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pharma_pricing_dashboards.pbix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BI: Pricing Trends, Portfolio Heatmap, Market Dynamics dashboards</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pharma_competitive.twbx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Tableau: Competitive Landscape and Launch Intelligence dashboards</w:t>
            </w:r>
          </w:p>
        </w:tc>
      </w:tr>
    </w:tbl>
    <w:p>
      <w:r>
        <w:t xml:space="preserve"/>
      </w:r>
    </w:p>
    <w:p>
      <w:pPr>
        <w:pBdr>
          <w:bottom w:val="single" w:color="CCCCCC" w:sz="4" w:space="1"/>
        </w:pBdr>
        <w:spacing w:after="120" w:before="120"/>
      </w:pPr>
    </w:p>
    <w:p>
      <w:r>
        <w:t xml:space="preserve"/>
      </w:r>
    </w:p>
    <w:p>
      <w:pPr>
        <w:pStyle w:val="Heading1"/>
        <w:spacing w:after="160" w:before="320"/>
      </w:pPr>
      <w:r>
        <w:rPr>
          <w:rFonts w:ascii="Arial" w:cs="Arial" w:eastAsia="Arial" w:hAnsi="Arial"/>
          <w:b/>
          <w:bCs/>
          <w:color w:val="1F3864"/>
          <w:sz w:val="32"/>
          <w:szCs w:val="32"/>
        </w:rPr>
        <w:t xml:space="preserve">8. Recommended Build Order</w:t>
      </w:r>
    </w:p>
    <w:p>
      <w:r>
        <w:t xml:space="preserve"/>
      </w:r>
    </w:p>
    <w:p>
      <w:pPr>
        <w:pStyle w:val="ListParagraph"/>
        <w:numPr>
          <w:ilvl w:val="0"/>
          <w:numId w:val="2"/>
        </w:numPr>
        <w:spacing w:after="40" w:before="40"/>
      </w:pPr>
      <w:r>
        <w:rPr>
          <w:rFonts w:ascii="Arial" w:cs="Arial" w:eastAsia="Arial" w:hAnsi="Arial"/>
          <w:b w:val="false"/>
          <w:bCs w:val="false"/>
          <w:sz w:val="20"/>
          <w:szCs w:val="20"/>
        </w:rPr>
        <w:t xml:space="preserve">Week 1-2: Download all raw files, upload to Alteryx Cloud, complete Steps 01-04 (ingest + validate)</w:t>
      </w:r>
    </w:p>
    <w:p>
      <w:pPr>
        <w:pStyle w:val="ListParagraph"/>
        <w:numPr>
          <w:ilvl w:val="0"/>
          <w:numId w:val="2"/>
        </w:numPr>
        <w:spacing w:after="40" w:before="40"/>
      </w:pPr>
      <w:r>
        <w:rPr>
          <w:rFonts w:ascii="Arial" w:cs="Arial" w:eastAsia="Arial" w:hAnsi="Arial"/>
          <w:b w:val="false"/>
          <w:bCs w:val="false"/>
          <w:sz w:val="20"/>
          <w:szCs w:val="20"/>
        </w:rPr>
        <w:t xml:space="preserve">Week 3: Complete Steps 05-08 (transform and standardize)</w:t>
      </w:r>
    </w:p>
    <w:p>
      <w:pPr>
        <w:pStyle w:val="ListParagraph"/>
        <w:numPr>
          <w:ilvl w:val="0"/>
          <w:numId w:val="2"/>
        </w:numPr>
        <w:spacing w:after="40" w:before="40"/>
      </w:pPr>
      <w:r>
        <w:rPr>
          <w:rFonts w:ascii="Arial" w:cs="Arial" w:eastAsia="Arial" w:hAnsi="Arial"/>
          <w:b w:val="false"/>
          <w:bCs w:val="false"/>
          <w:sz w:val="20"/>
          <w:szCs w:val="20"/>
        </w:rPr>
        <w:t xml:space="preserve">Week 4: Complete Steps 09-12 (enrich with metrics)</w:t>
      </w:r>
    </w:p>
    <w:p>
      <w:pPr>
        <w:pStyle w:val="ListParagraph"/>
        <w:numPr>
          <w:ilvl w:val="0"/>
          <w:numId w:val="2"/>
        </w:numPr>
        <w:spacing w:after="40" w:before="40"/>
      </w:pPr>
      <w:r>
        <w:rPr>
          <w:rFonts w:ascii="Arial" w:cs="Arial" w:eastAsia="Arial" w:hAnsi="Arial"/>
          <w:b w:val="false"/>
          <w:bCs w:val="false"/>
          <w:sz w:val="20"/>
          <w:szCs w:val="20"/>
        </w:rPr>
        <w:t xml:space="preserve">Week 5: Complete Steps 13-17 (join, load, schedule)</w:t>
      </w:r>
    </w:p>
    <w:p>
      <w:pPr>
        <w:pStyle w:val="ListParagraph"/>
        <w:numPr>
          <w:ilvl w:val="0"/>
          <w:numId w:val="2"/>
        </w:numPr>
        <w:spacing w:after="40" w:before="40"/>
      </w:pPr>
      <w:r>
        <w:rPr>
          <w:rFonts w:ascii="Arial" w:cs="Arial" w:eastAsia="Arial" w:hAnsi="Arial"/>
          <w:b w:val="false"/>
          <w:bCs w:val="false"/>
          <w:sz w:val="20"/>
          <w:szCs w:val="20"/>
        </w:rPr>
        <w:t xml:space="preserve">Week 6-7: Build Power BI dashboards connected to master Excel</w:t>
      </w:r>
    </w:p>
    <w:p>
      <w:pPr>
        <w:pStyle w:val="ListParagraph"/>
        <w:numPr>
          <w:ilvl w:val="0"/>
          <w:numId w:val="2"/>
        </w:numPr>
        <w:spacing w:after="40" w:before="40"/>
      </w:pPr>
      <w:r>
        <w:rPr>
          <w:rFonts w:ascii="Arial" w:cs="Arial" w:eastAsia="Arial" w:hAnsi="Arial"/>
          <w:b w:val="false"/>
          <w:bCs w:val="false"/>
          <w:sz w:val="20"/>
          <w:szCs w:val="20"/>
        </w:rPr>
        <w:t xml:space="preserve">Week 8-9: Build Tableau dashboards for competitive + launch views</w:t>
      </w:r>
    </w:p>
    <w:p>
      <w:pPr>
        <w:pStyle w:val="ListParagraph"/>
        <w:numPr>
          <w:ilvl w:val="0"/>
          <w:numId w:val="2"/>
        </w:numPr>
        <w:spacing w:after="40" w:before="40"/>
      </w:pPr>
      <w:r>
        <w:rPr>
          <w:rFonts w:ascii="Arial" w:cs="Arial" w:eastAsia="Arial" w:hAnsi="Arial"/>
          <w:b w:val="false"/>
          <w:bCs w:val="false"/>
          <w:sz w:val="20"/>
          <w:szCs w:val="20"/>
        </w:rPr>
        <w:t xml:space="preserve">Week 9: Polish, add optimization scorecard, document everything, take screenshots</w:t>
      </w:r>
    </w:p>
    <w:p>
      <w:r>
        <w:t xml:space="preserve"/>
      </w:r>
    </w:p>
    <w:p>
      <w:pPr>
        <w:pStyle w:val="Heading2"/>
        <w:spacing w:after="120" w:before="240"/>
      </w:pPr>
      <w:r>
        <w:rPr>
          <w:rFonts w:ascii="Arial" w:cs="Arial" w:eastAsia="Arial" w:hAnsi="Arial"/>
          <w:b/>
          <w:bCs/>
          <w:color w:val="2E5FA3"/>
          <w:sz w:val="26"/>
          <w:szCs w:val="26"/>
        </w:rPr>
        <w:t xml:space="preserve">Key Metrics to Calculate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Formula</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YoY Price Change %</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(Current Price - Prior Year Price) / Prior Year Price * 100</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Gross-to-Net Gap</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WAC (NADAC) - ASP</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 Premium</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 ASP / Generic NADAC</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Inflation-Adjusted Price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ASP_Price / (PPI_Index / 100)</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Volatility CV</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StdDev(ASP) / Avg(ASP) * 100</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 4Q Average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(Q0 + Q-1 + Q-2 + Q-3) / 4</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Months to Patent Expiry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DateTimeDiff(Now, Patent_Expiry_Date, months)</w:t>
            </w:r>
          </w:p>
        </w:tc>
      </w:tr>
    </w:tbl>
    <w:p>
      <w:r>
        <w:t xml:space="preserve"/>
      </w:r>
    </w:p>
    <w:p>
      <w:pPr>
        <w:pBdr>
          <w:bottom w:val="single" w:color="CCCCCC" w:sz="4" w:space="1"/>
        </w:pBdr>
        <w:spacing w:after="120" w:before="120"/>
      </w:pPr>
    </w:p>
    <w:p>
      <w:r>
        <w:t xml:space="preserve"/>
      </w:r>
    </w:p>
    <w:p>
      <w:pPr>
        <w:spacing w:after="0" w:before="120"/>
        <w:jc w:val="center"/>
      </w:pPr>
      <w:r>
        <w:rPr>
          <w:rFonts w:ascii="Arial" w:cs="Arial" w:eastAsia="Arial" w:hAnsi="Arial"/>
          <w:i/>
          <w:iCs/>
          <w:color w:val="999999"/>
          <w:sz w:val="16"/>
          <w:szCs w:val="16"/>
        </w:rPr>
        <w:t xml:space="preserve">Generated from Cowork session — March 2026  |  Thrivikram Kotharu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2026-03-28T01:28:09.998Z</dcterms:created>
  <dcterms:modified xsi:type="dcterms:W3CDTF">2026-03-28T01:28:09.999Z</dcterms:modified>
</cp:coreProperties>
</file>

<file path=docProps/custom.xml><?xml version="1.0" encoding="utf-8"?>
<Properties xmlns="http://schemas.openxmlformats.org/officeDocument/2006/custom-properties" xmlns:vt="http://schemas.openxmlformats.org/officeDocument/2006/docPropsVTypes"/>
</file>